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F008C" w14:textId="4776DE02" w:rsidR="00BD6D06" w:rsidRPr="00FE3670" w:rsidRDefault="00BD6D06" w:rsidP="00BD6D0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0C883020">
        <w:rPr>
          <w:rFonts w:ascii="Arial" w:eastAsia="SimSun" w:hAnsi="Arial" w:cs="Times New Roman"/>
          <w:b/>
          <w:bCs/>
          <w:sz w:val="24"/>
          <w:szCs w:val="24"/>
        </w:rPr>
        <w:t>3GPP T</w:t>
      </w:r>
      <w:bookmarkStart w:id="2" w:name="_Ref452454252"/>
      <w:bookmarkEnd w:id="2"/>
      <w:r w:rsidRPr="0C883020">
        <w:rPr>
          <w:rFonts w:ascii="Arial" w:eastAsia="SimSun" w:hAnsi="Arial" w:cs="Times New Roman"/>
          <w:b/>
          <w:bCs/>
          <w:sz w:val="24"/>
          <w:szCs w:val="24"/>
        </w:rPr>
        <w:t>SG-RAN WG4 Meeting #108</w:t>
      </w:r>
      <w:r>
        <w:rPr>
          <w:rFonts w:ascii="Arial" w:eastAsia="SimSun" w:hAnsi="Arial" w:cs="Times New Roman"/>
          <w:b/>
          <w:bCs/>
          <w:sz w:val="24"/>
          <w:szCs w:val="24"/>
        </w:rPr>
        <w:t>-bis</w:t>
      </w:r>
      <w:r w:rsidRPr="0C883020">
        <w:rPr>
          <w:rFonts w:ascii="Arial" w:eastAsia="SimSun" w:hAnsi="Arial" w:cs="Times New Roman"/>
          <w:b/>
          <w:bCs/>
          <w:sz w:val="24"/>
          <w:szCs w:val="24"/>
        </w:rPr>
        <w:t xml:space="preserve"> </w:t>
      </w:r>
      <w:r>
        <w:tab/>
      </w:r>
      <w:r w:rsidR="00BB1F24" w:rsidRPr="00BB1F24">
        <w:rPr>
          <w:rFonts w:ascii="Arial" w:eastAsia="SimSun" w:hAnsi="Arial" w:cs="Times New Roman"/>
          <w:b/>
          <w:bCs/>
          <w:sz w:val="24"/>
          <w:szCs w:val="24"/>
        </w:rPr>
        <w:t>R4-2315932</w:t>
      </w:r>
    </w:p>
    <w:p w14:paraId="65B4C257" w14:textId="7F3A5103" w:rsidR="00BD6D06" w:rsidRPr="00FE3670" w:rsidRDefault="00BD6D06" w:rsidP="00BD6D0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533FCF">
        <w:rPr>
          <w:rFonts w:ascii="Arial" w:hAnsi="Arial" w:cs="Arial"/>
          <w:b/>
          <w:bCs/>
          <w:color w:val="312E25"/>
          <w:sz w:val="24"/>
          <w:szCs w:val="24"/>
          <w:shd w:val="clear" w:color="auto" w:fill="FFFFFF"/>
        </w:rPr>
        <w:t>Xiamen, C</w:t>
      </w:r>
      <w:r>
        <w:rPr>
          <w:rFonts w:ascii="Arial" w:hAnsi="Arial" w:cs="Arial"/>
          <w:b/>
          <w:bCs/>
          <w:color w:val="312E25"/>
          <w:sz w:val="24"/>
          <w:szCs w:val="24"/>
          <w:shd w:val="clear" w:color="auto" w:fill="FFFFFF"/>
        </w:rPr>
        <w:t>hina</w:t>
      </w:r>
      <w:r w:rsidRPr="00533FCF">
        <w:rPr>
          <w:rFonts w:ascii="Arial" w:eastAsia="SimSun" w:hAnsi="Arial" w:cs="Times New Roman"/>
          <w:b/>
          <w:bCs/>
          <w:sz w:val="24"/>
          <w:szCs w:val="24"/>
        </w:rPr>
        <w:t>,</w:t>
      </w:r>
      <w:r w:rsidRPr="00FE3670">
        <w:rPr>
          <w:rFonts w:ascii="Arial" w:eastAsia="SimSun" w:hAnsi="Arial" w:cs="Times New Roman"/>
          <w:b/>
          <w:sz w:val="24"/>
          <w:szCs w:val="20"/>
        </w:rPr>
        <w:t xml:space="preserve"> </w:t>
      </w:r>
      <w:r>
        <w:rPr>
          <w:rFonts w:ascii="Arial" w:eastAsia="SimSun" w:hAnsi="Arial" w:cs="Times New Roman"/>
          <w:b/>
          <w:sz w:val="24"/>
          <w:szCs w:val="20"/>
        </w:rPr>
        <w:t>October</w:t>
      </w:r>
      <w:r w:rsidRPr="00FE3670">
        <w:rPr>
          <w:rFonts w:ascii="Arial" w:eastAsia="SimSun" w:hAnsi="Arial" w:cs="Times New Roman"/>
          <w:b/>
          <w:sz w:val="24"/>
          <w:szCs w:val="20"/>
        </w:rPr>
        <w:t xml:space="preserve"> </w:t>
      </w:r>
      <w:r>
        <w:rPr>
          <w:rFonts w:ascii="Arial" w:eastAsia="SimSun" w:hAnsi="Arial" w:cs="Times New Roman"/>
          <w:b/>
          <w:sz w:val="24"/>
          <w:szCs w:val="20"/>
        </w:rPr>
        <w:t>09</w:t>
      </w:r>
      <w:r w:rsidRPr="00FE3670">
        <w:rPr>
          <w:rFonts w:ascii="Arial" w:eastAsia="SimSun" w:hAnsi="Arial" w:cs="Times New Roman"/>
          <w:b/>
          <w:sz w:val="24"/>
          <w:szCs w:val="20"/>
        </w:rPr>
        <w:t xml:space="preserve"> – </w:t>
      </w:r>
      <w:r>
        <w:rPr>
          <w:rFonts w:ascii="Arial" w:eastAsia="SimSun" w:hAnsi="Arial" w:cs="Times New Roman"/>
          <w:b/>
          <w:sz w:val="24"/>
          <w:szCs w:val="20"/>
        </w:rPr>
        <w:t>13</w:t>
      </w:r>
      <w:r w:rsidRPr="00FE3670">
        <w:rPr>
          <w:rFonts w:ascii="Arial" w:eastAsia="SimSun" w:hAnsi="Arial" w:cs="Times New Roman"/>
          <w:b/>
          <w:sz w:val="24"/>
          <w:szCs w:val="20"/>
        </w:rPr>
        <w:t>, 2023</w:t>
      </w:r>
    </w:p>
    <w:bookmarkEnd w:id="0"/>
    <w:bookmarkEnd w:id="1"/>
    <w:p w14:paraId="241473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A00A7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9BE083C" w14:textId="3959743E"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6A126E" w:rsidRPr="7792DF16">
        <w:rPr>
          <w:rFonts w:ascii="Arial" w:eastAsia="Calibri" w:hAnsi="Arial" w:cs="Arial"/>
          <w:b/>
          <w:bCs/>
          <w:sz w:val="24"/>
          <w:szCs w:val="24"/>
        </w:rPr>
        <w:t xml:space="preserve">Discussion on </w:t>
      </w:r>
      <w:r w:rsidR="00351C08">
        <w:rPr>
          <w:rFonts w:ascii="Arial" w:eastAsia="Calibri" w:hAnsi="Arial" w:cs="Arial"/>
          <w:b/>
          <w:bCs/>
          <w:sz w:val="24"/>
          <w:szCs w:val="24"/>
        </w:rPr>
        <w:t xml:space="preserve">RRM </w:t>
      </w:r>
      <w:r w:rsidR="00EA7D41">
        <w:rPr>
          <w:rFonts w:ascii="Arial" w:eastAsia="Calibri" w:hAnsi="Arial" w:cs="Arial"/>
          <w:b/>
          <w:bCs/>
          <w:sz w:val="24"/>
          <w:szCs w:val="24"/>
        </w:rPr>
        <w:t xml:space="preserve">performance </w:t>
      </w:r>
      <w:r w:rsidR="004C5E1B">
        <w:rPr>
          <w:rFonts w:ascii="Arial" w:eastAsia="Calibri" w:hAnsi="Arial" w:cs="Arial"/>
          <w:b/>
          <w:bCs/>
          <w:sz w:val="24"/>
          <w:szCs w:val="24"/>
        </w:rPr>
        <w:t>requirements for</w:t>
      </w:r>
      <w:r w:rsidR="00EA7D41">
        <w:rPr>
          <w:rFonts w:ascii="Arial" w:eastAsia="Calibri" w:hAnsi="Arial" w:cs="Arial"/>
          <w:b/>
          <w:bCs/>
          <w:sz w:val="24"/>
          <w:szCs w:val="24"/>
        </w:rPr>
        <w:t xml:space="preserve"> further mobility enhancements</w:t>
      </w:r>
    </w:p>
    <w:p w14:paraId="0A4EEEEB" w14:textId="37CD4AFD"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E64B38" w:rsidRPr="00E64B38">
        <w:rPr>
          <w:rFonts w:ascii="Arial" w:eastAsia="MS Mincho" w:hAnsi="Arial" w:cs="Arial"/>
          <w:b/>
          <w:bCs/>
          <w:sz w:val="24"/>
          <w:szCs w:val="20"/>
        </w:rPr>
        <w:t>5.24.3</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sz w:val="24"/>
        </w:rPr>
      </w:pPr>
    </w:p>
    <w:p w14:paraId="246DD58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5822C9C7" w14:textId="78A91A64" w:rsidR="00BD6D06" w:rsidRDefault="00EA7D41" w:rsidP="000335CE">
      <w:pPr>
        <w:rPr>
          <w:rStyle w:val="normaltextrun"/>
          <w:color w:val="000000"/>
          <w:szCs w:val="20"/>
          <w:shd w:val="clear" w:color="auto" w:fill="FFFFFF"/>
        </w:rPr>
      </w:pPr>
      <w:r>
        <w:rPr>
          <w:rStyle w:val="normaltextrun"/>
          <w:color w:val="000000"/>
          <w:szCs w:val="20"/>
          <w:shd w:val="clear" w:color="auto" w:fill="FFFFFF"/>
        </w:rPr>
        <w:t>The performance part of the Further mobility enhancements WI is starting in the RAN4#108bis meeting. The RAN4 core part for the WI has covered the following objectives, for which core part requirements have been agreed or are under discussion:</w:t>
      </w:r>
    </w:p>
    <w:p w14:paraId="22F7A2EA" w14:textId="24D08D62" w:rsidR="00EA7D41" w:rsidRDefault="00EA7D41" w:rsidP="00EA7D41">
      <w:pPr>
        <w:ind w:left="720"/>
        <w:rPr>
          <w:rStyle w:val="normaltextrun"/>
          <w:color w:val="000000"/>
          <w:szCs w:val="20"/>
          <w:shd w:val="clear" w:color="auto" w:fill="FFFFFF"/>
        </w:rPr>
      </w:pPr>
      <w:r>
        <w:rPr>
          <w:rStyle w:val="normaltextrun"/>
          <w:color w:val="000000"/>
          <w:szCs w:val="20"/>
          <w:shd w:val="clear" w:color="auto" w:fill="FFFFFF"/>
        </w:rPr>
        <w:t>- Selective activation</w:t>
      </w:r>
    </w:p>
    <w:p w14:paraId="18F6ACA5" w14:textId="0477876D" w:rsidR="00EA7D41" w:rsidRDefault="00EA7D41" w:rsidP="00EA7D41">
      <w:pPr>
        <w:ind w:left="720"/>
        <w:rPr>
          <w:rStyle w:val="normaltextrun"/>
          <w:color w:val="000000"/>
          <w:szCs w:val="20"/>
          <w:shd w:val="clear" w:color="auto" w:fill="FFFFFF"/>
        </w:rPr>
      </w:pPr>
      <w:r>
        <w:rPr>
          <w:rStyle w:val="normaltextrun"/>
          <w:color w:val="000000"/>
          <w:szCs w:val="20"/>
          <w:shd w:val="clear" w:color="auto" w:fill="FFFFFF"/>
        </w:rPr>
        <w:t xml:space="preserve">- </w:t>
      </w:r>
      <w:r w:rsidRPr="00EA7D41">
        <w:rPr>
          <w:rStyle w:val="normaltextrun"/>
          <w:color w:val="000000"/>
          <w:szCs w:val="20"/>
          <w:shd w:val="clear" w:color="auto" w:fill="FFFFFF"/>
        </w:rPr>
        <w:t xml:space="preserve">L1/L2 based inter-cell mobility </w:t>
      </w:r>
      <w:r>
        <w:rPr>
          <w:rStyle w:val="normaltextrun"/>
          <w:color w:val="000000"/>
          <w:szCs w:val="20"/>
          <w:shd w:val="clear" w:color="auto" w:fill="FFFFFF"/>
        </w:rPr>
        <w:t>- LTM</w:t>
      </w:r>
    </w:p>
    <w:p w14:paraId="0E19C77A" w14:textId="325CC442" w:rsidR="00EA7D41" w:rsidRDefault="00EA7D41" w:rsidP="00EA7D41">
      <w:pPr>
        <w:ind w:left="720"/>
        <w:rPr>
          <w:rStyle w:val="normaltextrun"/>
          <w:color w:val="000000"/>
          <w:szCs w:val="20"/>
          <w:shd w:val="clear" w:color="auto" w:fill="FFFFFF"/>
        </w:rPr>
      </w:pPr>
      <w:r>
        <w:rPr>
          <w:rStyle w:val="normaltextrun"/>
          <w:color w:val="000000"/>
          <w:szCs w:val="20"/>
          <w:shd w:val="clear" w:color="auto" w:fill="FFFFFF"/>
        </w:rPr>
        <w:t xml:space="preserve">- </w:t>
      </w:r>
      <w:r w:rsidRPr="00EA7D41">
        <w:rPr>
          <w:rStyle w:val="normaltextrun"/>
          <w:color w:val="000000"/>
          <w:szCs w:val="20"/>
          <w:shd w:val="clear" w:color="auto" w:fill="FFFFFF"/>
        </w:rPr>
        <w:t>Improvement on SCell/SCG setup delay</w:t>
      </w:r>
    </w:p>
    <w:p w14:paraId="65C8651E" w14:textId="77777777" w:rsidR="00EA7D41" w:rsidRDefault="00EA7D41" w:rsidP="00EA7D41">
      <w:pPr>
        <w:ind w:left="720"/>
        <w:rPr>
          <w:rStyle w:val="normaltextrun"/>
          <w:color w:val="000000"/>
          <w:szCs w:val="20"/>
          <w:shd w:val="clear" w:color="auto" w:fill="FFFFFF"/>
        </w:rPr>
      </w:pPr>
      <w:r>
        <w:rPr>
          <w:rStyle w:val="normaltextrun"/>
          <w:color w:val="000000"/>
          <w:szCs w:val="20"/>
          <w:shd w:val="clear" w:color="auto" w:fill="FFFFFF"/>
        </w:rPr>
        <w:t>- Enhanced CHO configurations</w:t>
      </w:r>
    </w:p>
    <w:p w14:paraId="17E47AFC" w14:textId="3DA4AFDB" w:rsidR="00EA7D41" w:rsidRDefault="00EA7D41" w:rsidP="00EA7D41">
      <w:pPr>
        <w:ind w:left="1440"/>
        <w:rPr>
          <w:rStyle w:val="normaltextrun"/>
          <w:color w:val="000000"/>
          <w:szCs w:val="20"/>
          <w:shd w:val="clear" w:color="auto" w:fill="FFFFFF"/>
        </w:rPr>
      </w:pPr>
      <w:r>
        <w:rPr>
          <w:rStyle w:val="normaltextrun"/>
          <w:color w:val="000000"/>
          <w:szCs w:val="20"/>
          <w:shd w:val="clear" w:color="auto" w:fill="FFFFFF"/>
        </w:rPr>
        <w:t>- CHO with target PSCell</w:t>
      </w:r>
    </w:p>
    <w:p w14:paraId="7D6C2EEB" w14:textId="280F0A81" w:rsidR="00EA7D41" w:rsidRDefault="00EA7D41" w:rsidP="00EA7D41">
      <w:pPr>
        <w:ind w:left="1440"/>
        <w:rPr>
          <w:rStyle w:val="normaltextrun"/>
          <w:color w:val="000000"/>
          <w:szCs w:val="20"/>
          <w:shd w:val="clear" w:color="auto" w:fill="FFFFFF"/>
        </w:rPr>
      </w:pPr>
      <w:r>
        <w:rPr>
          <w:rStyle w:val="normaltextrun"/>
          <w:color w:val="000000"/>
          <w:szCs w:val="20"/>
          <w:shd w:val="clear" w:color="auto" w:fill="FFFFFF"/>
        </w:rPr>
        <w:t>- CHO with candidate PSCell</w:t>
      </w:r>
    </w:p>
    <w:p w14:paraId="3E6AB742" w14:textId="5B618C92" w:rsidR="00EA7D41" w:rsidRDefault="00EA7D41" w:rsidP="000335CE">
      <w:pPr>
        <w:rPr>
          <w:rStyle w:val="normaltextrun"/>
          <w:color w:val="000000"/>
          <w:szCs w:val="20"/>
          <w:shd w:val="clear" w:color="auto" w:fill="FFFFFF"/>
        </w:rPr>
      </w:pPr>
      <w:r>
        <w:rPr>
          <w:rStyle w:val="normaltextrun"/>
          <w:color w:val="000000"/>
          <w:szCs w:val="20"/>
          <w:shd w:val="clear" w:color="auto" w:fill="FFFFFF"/>
        </w:rPr>
        <w:t>In this contribution, we give our initial views on the test case need for these objectives.</w:t>
      </w:r>
    </w:p>
    <w:p w14:paraId="2B10D185" w14:textId="78C9F25E" w:rsidR="00BD6D06" w:rsidRDefault="00EA7D41" w:rsidP="00BD6D06">
      <w:pPr>
        <w:pStyle w:val="RAN4H1"/>
        <w:rPr>
          <w:rStyle w:val="normaltextrun"/>
          <w:color w:val="000000"/>
          <w:shd w:val="clear" w:color="auto" w:fill="FFFFFF"/>
        </w:rPr>
      </w:pPr>
      <w:r>
        <w:rPr>
          <w:rStyle w:val="normaltextrun"/>
          <w:color w:val="000000"/>
          <w:shd w:val="clear" w:color="auto" w:fill="FFFFFF"/>
        </w:rPr>
        <w:t>Test cases</w:t>
      </w:r>
    </w:p>
    <w:p w14:paraId="54DF8FD6" w14:textId="003F40F4" w:rsidR="0027167B" w:rsidRPr="0027167B" w:rsidRDefault="008970BF" w:rsidP="0027167B">
      <w:pPr>
        <w:rPr>
          <w:lang w:val="en-GB"/>
        </w:rPr>
      </w:pPr>
      <w:r>
        <w:rPr>
          <w:lang w:val="en-GB"/>
        </w:rPr>
        <w:t xml:space="preserve">While for some objectives of the Further mobility enhancements WI, </w:t>
      </w:r>
      <w:r w:rsidR="00B145CA">
        <w:rPr>
          <w:lang w:val="en-GB"/>
        </w:rPr>
        <w:t xml:space="preserve">significant progress and agreements have been made by the last RAN4 meeting, for some objectives </w:t>
      </w:r>
      <w:r w:rsidR="00673F6A">
        <w:rPr>
          <w:lang w:val="en-GB"/>
        </w:rPr>
        <w:t xml:space="preserve">many issues are still open. </w:t>
      </w:r>
      <w:r w:rsidR="00B820E8">
        <w:rPr>
          <w:lang w:val="en-GB"/>
        </w:rPr>
        <w:t>Considering the performance part, b</w:t>
      </w:r>
      <w:r w:rsidR="00673F6A">
        <w:rPr>
          <w:lang w:val="en-GB"/>
        </w:rPr>
        <w:t xml:space="preserve">ased on the </w:t>
      </w:r>
      <w:proofErr w:type="gramStart"/>
      <w:r w:rsidR="00673F6A">
        <w:rPr>
          <w:lang w:val="en-GB"/>
        </w:rPr>
        <w:t>current status</w:t>
      </w:r>
      <w:proofErr w:type="gramEnd"/>
      <w:r w:rsidR="00673F6A">
        <w:rPr>
          <w:lang w:val="en-GB"/>
        </w:rPr>
        <w:t xml:space="preserve"> of each objective, it is possible to evaluate the test case need </w:t>
      </w:r>
      <w:r w:rsidR="00717F8D">
        <w:rPr>
          <w:lang w:val="en-GB"/>
        </w:rPr>
        <w:t xml:space="preserve">at least </w:t>
      </w:r>
      <w:r w:rsidR="00673F6A">
        <w:rPr>
          <w:lang w:val="en-GB"/>
        </w:rPr>
        <w:t>on high level.</w:t>
      </w:r>
      <w:r w:rsidR="00717F8D">
        <w:rPr>
          <w:lang w:val="en-GB"/>
        </w:rPr>
        <w:t xml:space="preserve"> In the following we discuss each of the objectives, the agreed core part requirements and the corresponding test cases that RAN4 should define.</w:t>
      </w:r>
    </w:p>
    <w:p w14:paraId="73AB02D1" w14:textId="4E79BBC7" w:rsidR="00EA7D41" w:rsidRDefault="00EA7D41" w:rsidP="00EA7D41">
      <w:pPr>
        <w:pStyle w:val="RAN4H2"/>
        <w:rPr>
          <w:lang w:val="en-GB"/>
        </w:rPr>
      </w:pPr>
      <w:r>
        <w:rPr>
          <w:lang w:val="en-GB"/>
        </w:rPr>
        <w:t>Selective activation</w:t>
      </w:r>
    </w:p>
    <w:p w14:paraId="573AD6A7" w14:textId="42C8645A" w:rsidR="007B18F0" w:rsidRDefault="00CE5F34" w:rsidP="00CE5F34">
      <w:pPr>
        <w:rPr>
          <w:lang w:val="en-GB"/>
        </w:rPr>
      </w:pPr>
      <w:r>
        <w:rPr>
          <w:lang w:val="en-GB"/>
        </w:rPr>
        <w:t>For subsequent-CPAC</w:t>
      </w:r>
      <w:r w:rsidR="00346CA8">
        <w:rPr>
          <w:lang w:val="en-GB"/>
        </w:rPr>
        <w:t>,</w:t>
      </w:r>
      <w:r>
        <w:rPr>
          <w:lang w:val="en-GB"/>
        </w:rPr>
        <w:t xml:space="preserve"> the </w:t>
      </w:r>
      <w:r w:rsidR="00773CAE">
        <w:rPr>
          <w:lang w:val="en-GB"/>
        </w:rPr>
        <w:t xml:space="preserve">subsequent PSCell change delay has been agreed to not include the RRC configuration </w:t>
      </w:r>
      <w:r w:rsidR="00B318A6">
        <w:rPr>
          <w:lang w:val="en-GB"/>
        </w:rPr>
        <w:t xml:space="preserve">time related to the initial </w:t>
      </w:r>
      <w:r w:rsidR="00165A5E">
        <w:rPr>
          <w:lang w:val="en-GB"/>
        </w:rPr>
        <w:t>c</w:t>
      </w:r>
      <w:r w:rsidR="00B318A6">
        <w:rPr>
          <w:lang w:val="en-GB"/>
        </w:rPr>
        <w:t xml:space="preserve">onditional </w:t>
      </w:r>
      <w:r w:rsidR="00165A5E">
        <w:rPr>
          <w:lang w:val="en-GB"/>
        </w:rPr>
        <w:t>c</w:t>
      </w:r>
      <w:r w:rsidR="00B318A6">
        <w:rPr>
          <w:lang w:val="en-GB"/>
        </w:rPr>
        <w:t xml:space="preserve">onfiguration being received by the UE, as for the subsequent </w:t>
      </w:r>
      <w:r w:rsidR="007B18F0">
        <w:rPr>
          <w:lang w:val="en-GB"/>
        </w:rPr>
        <w:t>CPAC</w:t>
      </w:r>
      <w:r w:rsidR="00B318A6">
        <w:rPr>
          <w:lang w:val="en-GB"/>
        </w:rPr>
        <w:t xml:space="preserve"> UE keeps the </w:t>
      </w:r>
      <w:r w:rsidR="007B18F0">
        <w:rPr>
          <w:lang w:val="en-GB"/>
        </w:rPr>
        <w:t xml:space="preserve">conditional </w:t>
      </w:r>
      <w:r w:rsidR="00B318A6">
        <w:rPr>
          <w:lang w:val="en-GB"/>
        </w:rPr>
        <w:t>configuration</w:t>
      </w:r>
      <w:r w:rsidR="007B18F0">
        <w:rPr>
          <w:lang w:val="en-GB"/>
        </w:rPr>
        <w:t>s</w:t>
      </w:r>
      <w:r w:rsidR="00B318A6">
        <w:rPr>
          <w:lang w:val="en-GB"/>
        </w:rPr>
        <w:t>.</w:t>
      </w:r>
    </w:p>
    <w:p w14:paraId="2514E318" w14:textId="57D81001" w:rsidR="00487AF7" w:rsidRDefault="0050538E" w:rsidP="00CE5F34">
      <w:pPr>
        <w:rPr>
          <w:lang w:val="en-GB"/>
        </w:rPr>
      </w:pPr>
      <w:r>
        <w:rPr>
          <w:lang w:val="en-GB"/>
        </w:rPr>
        <w:t>To be able to test a subsequent</w:t>
      </w:r>
      <w:r w:rsidR="00CB487D">
        <w:rPr>
          <w:lang w:val="en-GB"/>
        </w:rPr>
        <w:t xml:space="preserve"> PSCell change, the test case may consist of UE first performing a PSCell change and then following this a subsequent PSCell change</w:t>
      </w:r>
      <w:r w:rsidR="0043568C">
        <w:rPr>
          <w:lang w:val="en-GB"/>
        </w:rPr>
        <w:t xml:space="preserve">, where the UE </w:t>
      </w:r>
      <w:proofErr w:type="gramStart"/>
      <w:r w:rsidR="0043568C">
        <w:rPr>
          <w:lang w:val="en-GB"/>
        </w:rPr>
        <w:t>has to</w:t>
      </w:r>
      <w:proofErr w:type="gramEnd"/>
      <w:r w:rsidR="0043568C">
        <w:rPr>
          <w:lang w:val="en-GB"/>
        </w:rPr>
        <w:t xml:space="preserve"> fulfil the delay requirement for </w:t>
      </w:r>
      <w:r w:rsidR="00165A5E">
        <w:rPr>
          <w:lang w:val="en-GB"/>
        </w:rPr>
        <w:t xml:space="preserve">the subsequent </w:t>
      </w:r>
      <w:r w:rsidR="00553796">
        <w:rPr>
          <w:lang w:val="en-GB"/>
        </w:rPr>
        <w:t>PSCell change</w:t>
      </w:r>
      <w:r w:rsidR="006E439B">
        <w:rPr>
          <w:lang w:val="en-GB"/>
        </w:rPr>
        <w:t>.</w:t>
      </w:r>
    </w:p>
    <w:p w14:paraId="4ECB8857" w14:textId="616FB6A7" w:rsidR="00BD07AA" w:rsidRPr="00887E39" w:rsidRDefault="00DF6342" w:rsidP="00E019F0">
      <w:pPr>
        <w:pStyle w:val="RAN4proposal"/>
        <w:rPr>
          <w:bCs/>
          <w:lang w:val="en-GB"/>
        </w:rPr>
      </w:pPr>
      <w:bookmarkStart w:id="4" w:name="_Toc146625278"/>
      <w:bookmarkStart w:id="5" w:name="_Toc146729695"/>
      <w:bookmarkEnd w:id="4"/>
      <w:r>
        <w:rPr>
          <w:lang w:val="en-GB"/>
        </w:rPr>
        <w:t xml:space="preserve">For subsequent-CPAC testing of PSCell change delay, </w:t>
      </w:r>
      <w:bookmarkStart w:id="6" w:name="_Toc146625280"/>
      <w:bookmarkEnd w:id="6"/>
      <w:r w:rsidR="00887E39">
        <w:rPr>
          <w:lang w:val="en-GB"/>
        </w:rPr>
        <w:t xml:space="preserve">introduce a new test case </w:t>
      </w:r>
      <w:r w:rsidR="00CF1460">
        <w:rPr>
          <w:lang w:val="en-GB"/>
        </w:rPr>
        <w:t>to test the delay requirement for</w:t>
      </w:r>
      <w:r w:rsidR="00A27DAF">
        <w:rPr>
          <w:lang w:val="en-GB"/>
        </w:rPr>
        <w:t xml:space="preserve"> PSCell change </w:t>
      </w:r>
      <w:r w:rsidR="001056EE">
        <w:rPr>
          <w:lang w:val="en-GB"/>
        </w:rPr>
        <w:t xml:space="preserve">after </w:t>
      </w:r>
      <w:r w:rsidR="007B3372">
        <w:rPr>
          <w:lang w:val="en-GB"/>
        </w:rPr>
        <w:t>a PSCell chang</w:t>
      </w:r>
      <w:r w:rsidR="00CF1460">
        <w:rPr>
          <w:lang w:val="en-GB"/>
        </w:rPr>
        <w:t>e</w:t>
      </w:r>
      <w:r w:rsidR="007B3372">
        <w:rPr>
          <w:lang w:val="en-GB"/>
        </w:rPr>
        <w:t>.</w:t>
      </w:r>
      <w:bookmarkEnd w:id="5"/>
    </w:p>
    <w:p w14:paraId="5E2FD818" w14:textId="79B43549" w:rsidR="00EA7D41" w:rsidRDefault="00EA7D41" w:rsidP="00EA7D41">
      <w:pPr>
        <w:pStyle w:val="RAN4H2"/>
        <w:rPr>
          <w:lang w:val="en-GB"/>
        </w:rPr>
      </w:pPr>
      <w:r>
        <w:rPr>
          <w:lang w:val="en-GB"/>
        </w:rPr>
        <w:t>LTM</w:t>
      </w:r>
    </w:p>
    <w:p w14:paraId="093F552D" w14:textId="19DEAF3E" w:rsidR="00717F8D" w:rsidRDefault="0085099B" w:rsidP="00717F8D">
      <w:pPr>
        <w:rPr>
          <w:lang w:val="en-GB"/>
        </w:rPr>
      </w:pPr>
      <w:r>
        <w:rPr>
          <w:lang w:val="en-GB"/>
        </w:rPr>
        <w:t>Many details of the c</w:t>
      </w:r>
      <w:r w:rsidR="00717F8D">
        <w:rPr>
          <w:lang w:val="en-GB"/>
        </w:rPr>
        <w:t>ore part requirements for LTM are still under discussion</w:t>
      </w:r>
      <w:r>
        <w:rPr>
          <w:lang w:val="en-GB"/>
        </w:rPr>
        <w:t xml:space="preserve"> in RAN4, but based on the </w:t>
      </w:r>
      <w:proofErr w:type="gramStart"/>
      <w:r>
        <w:rPr>
          <w:lang w:val="en-GB"/>
        </w:rPr>
        <w:t>current status</w:t>
      </w:r>
      <w:proofErr w:type="gramEnd"/>
      <w:r>
        <w:rPr>
          <w:lang w:val="en-GB"/>
        </w:rPr>
        <w:t xml:space="preserve"> of the </w:t>
      </w:r>
      <w:r w:rsidR="00DF719F">
        <w:rPr>
          <w:lang w:val="en-GB"/>
        </w:rPr>
        <w:t>work in RAN4, the following overview of the LTM procedure and related requirements can be concluded</w:t>
      </w:r>
      <w:r w:rsidR="005D017B">
        <w:rPr>
          <w:lang w:val="en-GB"/>
        </w:rPr>
        <w:t>:</w:t>
      </w:r>
    </w:p>
    <w:p w14:paraId="28890D92" w14:textId="1EC1FF4F" w:rsidR="006C194F" w:rsidRDefault="00F25025" w:rsidP="00E019F0">
      <w:pPr>
        <w:pStyle w:val="RAN4H3"/>
        <w:rPr>
          <w:lang w:val="en-GB"/>
        </w:rPr>
      </w:pPr>
      <w:r w:rsidRPr="00E019F0">
        <w:rPr>
          <w:rStyle w:val="RAN4H3Char"/>
        </w:rPr>
        <w:lastRenderedPageBreak/>
        <w:t>LTM candidate cell measurements</w:t>
      </w:r>
    </w:p>
    <w:p w14:paraId="79341CDC" w14:textId="136C47A1" w:rsidR="006C194F" w:rsidRDefault="006C194F" w:rsidP="00E019F0">
      <w:pPr>
        <w:rPr>
          <w:lang w:val="en-GB"/>
        </w:rPr>
      </w:pPr>
      <w:r>
        <w:rPr>
          <w:lang w:val="en-GB"/>
        </w:rPr>
        <w:t>LTM candidate cell measurements may be:</w:t>
      </w:r>
    </w:p>
    <w:p w14:paraId="58F55F28" w14:textId="1EE6DD0F" w:rsidR="00F25025" w:rsidRPr="00F25025" w:rsidRDefault="006C194F" w:rsidP="00E019F0">
      <w:pPr>
        <w:ind w:left="720"/>
        <w:rPr>
          <w:lang w:val="en-GB"/>
        </w:rPr>
      </w:pPr>
      <w:r>
        <w:rPr>
          <w:lang w:val="en-GB"/>
        </w:rPr>
        <w:t xml:space="preserve">- </w:t>
      </w:r>
      <w:r w:rsidR="005D017B" w:rsidRPr="00F25025">
        <w:rPr>
          <w:lang w:val="en-GB"/>
        </w:rPr>
        <w:t xml:space="preserve">L1 measurements performed </w:t>
      </w:r>
      <w:r w:rsidR="007C7AE1" w:rsidRPr="00F25025">
        <w:rPr>
          <w:lang w:val="en-GB"/>
        </w:rPr>
        <w:t>according to LTM candidate cell configuration (intra/inter-frequency measurements)</w:t>
      </w:r>
    </w:p>
    <w:p w14:paraId="25168C0C" w14:textId="19BB44B2" w:rsidR="006942B7" w:rsidRDefault="00472BF3" w:rsidP="00472BF3">
      <w:pPr>
        <w:ind w:left="720"/>
        <w:rPr>
          <w:lang w:val="en-GB"/>
        </w:rPr>
      </w:pPr>
      <w:r>
        <w:rPr>
          <w:lang w:val="en-GB"/>
        </w:rPr>
        <w:t xml:space="preserve">- </w:t>
      </w:r>
      <w:r w:rsidR="006942B7" w:rsidRPr="00F25025">
        <w:rPr>
          <w:lang w:val="en-GB"/>
        </w:rPr>
        <w:t xml:space="preserve">[L3 measurements </w:t>
      </w:r>
      <w:r w:rsidR="00F25025" w:rsidRPr="00F25025">
        <w:rPr>
          <w:lang w:val="en-GB"/>
        </w:rPr>
        <w:t>performed by the UE and reported in L1 measurement report]</w:t>
      </w:r>
    </w:p>
    <w:p w14:paraId="33F25AED" w14:textId="0D2E1D26" w:rsidR="00CE5959" w:rsidRDefault="00CE5959" w:rsidP="00CE5959">
      <w:pPr>
        <w:rPr>
          <w:lang w:val="en-GB"/>
        </w:rPr>
      </w:pPr>
      <w:r>
        <w:rPr>
          <w:lang w:val="en-GB"/>
        </w:rPr>
        <w:t xml:space="preserve">Considering the L1 [and L3] measurements performed </w:t>
      </w:r>
      <w:r w:rsidR="00CA240B">
        <w:rPr>
          <w:lang w:val="en-GB"/>
        </w:rPr>
        <w:t>for</w:t>
      </w:r>
      <w:r>
        <w:rPr>
          <w:lang w:val="en-GB"/>
        </w:rPr>
        <w:t xml:space="preserve"> LTM candidate cells, most of the details are still open in the core part. However, </w:t>
      </w:r>
      <w:proofErr w:type="gramStart"/>
      <w:r>
        <w:rPr>
          <w:lang w:val="en-GB"/>
        </w:rPr>
        <w:t>it is clear that test</w:t>
      </w:r>
      <w:proofErr w:type="gramEnd"/>
      <w:r>
        <w:rPr>
          <w:lang w:val="en-GB"/>
        </w:rPr>
        <w:t xml:space="preserve"> cases are needed for the measurements for intra- and inter-frequency cases. Test case details depend on how RAN4 defines the core part requirements, so the discussion about the exact implementation of the test cases is pending further agreements on the core part.</w:t>
      </w:r>
    </w:p>
    <w:p w14:paraId="7DF877CA" w14:textId="08BBA83F" w:rsidR="00CE5959" w:rsidRDefault="003E4BC3" w:rsidP="003E4BC3">
      <w:pPr>
        <w:pStyle w:val="RAN4proposal"/>
        <w:rPr>
          <w:lang w:val="en-GB"/>
        </w:rPr>
      </w:pPr>
      <w:bookmarkStart w:id="7" w:name="_Toc146729696"/>
      <w:r>
        <w:rPr>
          <w:lang w:val="en-GB"/>
        </w:rPr>
        <w:t xml:space="preserve">Define </w:t>
      </w:r>
      <w:r w:rsidR="00C46EB6">
        <w:rPr>
          <w:lang w:val="en-GB"/>
        </w:rPr>
        <w:t xml:space="preserve">LTM </w:t>
      </w:r>
      <w:r w:rsidR="00F40C5D">
        <w:rPr>
          <w:lang w:val="en-GB"/>
        </w:rPr>
        <w:t>L1 measurement test cases for intra- and inter-frequency measurements. The details are pending core part conclusion.</w:t>
      </w:r>
      <w:bookmarkEnd w:id="7"/>
    </w:p>
    <w:p w14:paraId="640E747A" w14:textId="0D604E08" w:rsidR="00C46EB6" w:rsidRDefault="00C46EB6" w:rsidP="00C46EB6">
      <w:pPr>
        <w:pStyle w:val="RAN4proposal"/>
        <w:rPr>
          <w:lang w:val="en-GB"/>
        </w:rPr>
      </w:pPr>
      <w:bookmarkStart w:id="8" w:name="_Toc146729697"/>
      <w:r>
        <w:rPr>
          <w:lang w:val="en-GB"/>
        </w:rPr>
        <w:t>Define test cases for L3 measurement reporting in L1 report for intra- and inter-frequency measurements. The details are pending core part conclusion.</w:t>
      </w:r>
      <w:bookmarkEnd w:id="8"/>
    </w:p>
    <w:p w14:paraId="6A8A60E1" w14:textId="37A64782" w:rsidR="00D11017" w:rsidRDefault="00F25025" w:rsidP="00E019F0">
      <w:pPr>
        <w:pStyle w:val="RAN4H3"/>
        <w:rPr>
          <w:lang w:val="en-GB"/>
        </w:rPr>
      </w:pPr>
      <w:r>
        <w:rPr>
          <w:lang w:val="en-GB"/>
        </w:rPr>
        <w:t>Early TCI state activation</w:t>
      </w:r>
    </w:p>
    <w:p w14:paraId="0FA518AB" w14:textId="0012CDC8" w:rsidR="00C46EB6" w:rsidRDefault="00C46EB6" w:rsidP="00717F8D">
      <w:pPr>
        <w:rPr>
          <w:lang w:val="en-GB"/>
        </w:rPr>
      </w:pPr>
      <w:r>
        <w:rPr>
          <w:lang w:val="en-GB"/>
        </w:rPr>
        <w:t>For early TCI state activation</w:t>
      </w:r>
      <w:r w:rsidR="00BE4BD6">
        <w:rPr>
          <w:lang w:val="en-GB"/>
        </w:rPr>
        <w:t xml:space="preserve">, we have proposed to introduce delay requirements in our </w:t>
      </w:r>
      <w:r w:rsidR="006D627C">
        <w:rPr>
          <w:lang w:val="en-GB"/>
        </w:rPr>
        <w:t xml:space="preserve">core part contribution. </w:t>
      </w:r>
      <w:r w:rsidR="00C8491D">
        <w:rPr>
          <w:lang w:val="en-GB"/>
        </w:rPr>
        <w:t xml:space="preserve">However, we think </w:t>
      </w:r>
      <w:r w:rsidR="000C3D65">
        <w:rPr>
          <w:lang w:val="en-GB"/>
        </w:rPr>
        <w:t>there does not need to be a separate test case for early TCI state activation. Instead, TCI state activation can be tested together with LTM cell switch.</w:t>
      </w:r>
    </w:p>
    <w:p w14:paraId="4EB61C34" w14:textId="3BF79BE8" w:rsidR="00D56608" w:rsidRDefault="00D56608" w:rsidP="00E019F0">
      <w:pPr>
        <w:pStyle w:val="RAN4observation0"/>
      </w:pPr>
      <w:bookmarkStart w:id="9" w:name="_Toc146729698"/>
      <w:r>
        <w:t>No need to define a separate test case for early TCI state activation</w:t>
      </w:r>
      <w:r w:rsidR="00B75E02">
        <w:t xml:space="preserve"> if it is tested in LTM cell switch test case</w:t>
      </w:r>
      <w:r>
        <w:t>.</w:t>
      </w:r>
      <w:bookmarkEnd w:id="9"/>
    </w:p>
    <w:p w14:paraId="1A9357F7" w14:textId="791940F6" w:rsidR="00972E77" w:rsidRDefault="00972E77" w:rsidP="00E019F0">
      <w:pPr>
        <w:pStyle w:val="RAN4H3"/>
        <w:rPr>
          <w:lang w:val="en-GB"/>
        </w:rPr>
      </w:pPr>
      <w:r>
        <w:rPr>
          <w:lang w:val="en-GB"/>
        </w:rPr>
        <w:t>Early</w:t>
      </w:r>
      <w:r w:rsidR="00DF28E4">
        <w:rPr>
          <w:lang w:val="en-GB"/>
        </w:rPr>
        <w:t xml:space="preserve"> TA acquisition based on PDCCH </w:t>
      </w:r>
      <w:proofErr w:type="gramStart"/>
      <w:r w:rsidR="00DF28E4">
        <w:rPr>
          <w:lang w:val="en-GB"/>
        </w:rPr>
        <w:t>order</w:t>
      </w:r>
      <w:proofErr w:type="gramEnd"/>
    </w:p>
    <w:p w14:paraId="4C4EB5CD" w14:textId="30F83037" w:rsidR="000C3D65" w:rsidRDefault="00373CD9" w:rsidP="00717F8D">
      <w:pPr>
        <w:rPr>
          <w:lang w:val="en-GB"/>
        </w:rPr>
      </w:pPr>
      <w:r>
        <w:rPr>
          <w:lang w:val="en-GB"/>
        </w:rPr>
        <w:t xml:space="preserve">A test case for early TA acquisition </w:t>
      </w:r>
      <w:r w:rsidR="008D6CFB">
        <w:rPr>
          <w:lang w:val="en-GB"/>
        </w:rPr>
        <w:t xml:space="preserve">based on PDCCH order </w:t>
      </w:r>
      <w:r w:rsidR="007D1AF3">
        <w:rPr>
          <w:lang w:val="en-GB"/>
        </w:rPr>
        <w:t xml:space="preserve">(delay and interruption) </w:t>
      </w:r>
      <w:r w:rsidR="008D6CFB">
        <w:rPr>
          <w:lang w:val="en-GB"/>
        </w:rPr>
        <w:t>may be defined independently and/or together with the LTM cell switch test case</w:t>
      </w:r>
      <w:r w:rsidR="007D1AF3">
        <w:rPr>
          <w:lang w:val="en-GB"/>
        </w:rPr>
        <w:t>.</w:t>
      </w:r>
    </w:p>
    <w:p w14:paraId="7AEFB7F5" w14:textId="1228036B" w:rsidR="007D1AF3" w:rsidRDefault="007D1AF3" w:rsidP="00E019F0">
      <w:pPr>
        <w:pStyle w:val="RAN4proposal"/>
        <w:rPr>
          <w:lang w:val="en-GB"/>
        </w:rPr>
      </w:pPr>
      <w:bookmarkStart w:id="10" w:name="_Toc146729699"/>
      <w:r>
        <w:rPr>
          <w:lang w:val="en-GB"/>
        </w:rPr>
        <w:t>RAN4 to consider defining a test case for</w:t>
      </w:r>
      <w:r w:rsidR="00095E2F">
        <w:rPr>
          <w:lang w:val="en-GB"/>
        </w:rPr>
        <w:t xml:space="preserve"> early TA acquisition based on PDCCH order</w:t>
      </w:r>
      <w:r w:rsidR="00462588">
        <w:rPr>
          <w:lang w:val="en-GB"/>
        </w:rPr>
        <w:t xml:space="preserve"> separately from LTM cell switch</w:t>
      </w:r>
      <w:r w:rsidR="00D56608">
        <w:rPr>
          <w:lang w:val="en-GB"/>
        </w:rPr>
        <w:t xml:space="preserve"> and/or together with LTM cell switch. Details of the test case(s) are pending core part agreements.</w:t>
      </w:r>
      <w:bookmarkEnd w:id="10"/>
    </w:p>
    <w:p w14:paraId="7590BCA6" w14:textId="0A684DEE" w:rsidR="00DF28E4" w:rsidRDefault="003F5264" w:rsidP="00E019F0">
      <w:pPr>
        <w:pStyle w:val="RAN4H3"/>
        <w:rPr>
          <w:lang w:val="en-GB"/>
        </w:rPr>
      </w:pPr>
      <w:r>
        <w:rPr>
          <w:lang w:val="en-GB"/>
        </w:rPr>
        <w:t>LTM cell switch</w:t>
      </w:r>
    </w:p>
    <w:p w14:paraId="30C73BD9" w14:textId="2611CB46" w:rsidR="00D56608" w:rsidRDefault="00D56608" w:rsidP="00D56608">
      <w:pPr>
        <w:rPr>
          <w:lang w:val="en-GB"/>
        </w:rPr>
      </w:pPr>
      <w:r>
        <w:rPr>
          <w:lang w:val="en-GB"/>
        </w:rPr>
        <w:t xml:space="preserve">LTM cell switch delay requirements are </w:t>
      </w:r>
      <w:r w:rsidR="00004BE0">
        <w:rPr>
          <w:lang w:val="en-GB"/>
        </w:rPr>
        <w:t>still under discussion in the core part of the WI. However, LTM cell switch may be considered to depend at least on:</w:t>
      </w:r>
    </w:p>
    <w:p w14:paraId="249FB187" w14:textId="56214B9C" w:rsidR="00004BE0" w:rsidRDefault="00004BE0" w:rsidP="00E019F0">
      <w:pPr>
        <w:ind w:left="720"/>
        <w:rPr>
          <w:lang w:val="en-GB"/>
        </w:rPr>
      </w:pPr>
      <w:r>
        <w:rPr>
          <w:lang w:val="en-GB"/>
        </w:rPr>
        <w:t xml:space="preserve">- Whether the </w:t>
      </w:r>
      <w:r w:rsidR="008047B3">
        <w:rPr>
          <w:lang w:val="en-GB"/>
        </w:rPr>
        <w:t>target cell is a current serving cell or a neighbouring cell</w:t>
      </w:r>
    </w:p>
    <w:p w14:paraId="6300B4E0" w14:textId="6DCC4BB5" w:rsidR="008047B3" w:rsidRDefault="008047B3" w:rsidP="00E019F0">
      <w:pPr>
        <w:ind w:left="720"/>
        <w:rPr>
          <w:lang w:val="en-GB"/>
        </w:rPr>
      </w:pPr>
      <w:r>
        <w:rPr>
          <w:lang w:val="en-GB"/>
        </w:rPr>
        <w:t>- Frequency range of source and target cell</w:t>
      </w:r>
    </w:p>
    <w:p w14:paraId="2149A30A" w14:textId="53E2A0A6" w:rsidR="008047B3" w:rsidRDefault="008047B3" w:rsidP="00E019F0">
      <w:pPr>
        <w:ind w:left="720"/>
        <w:rPr>
          <w:lang w:val="en-GB"/>
        </w:rPr>
      </w:pPr>
      <w:r>
        <w:rPr>
          <w:lang w:val="en-GB"/>
        </w:rPr>
        <w:t xml:space="preserve">- Whether the target TCI state is </w:t>
      </w:r>
      <w:r w:rsidR="00E04F15">
        <w:rPr>
          <w:lang w:val="en-GB"/>
        </w:rPr>
        <w:t>on the active TCI state list</w:t>
      </w:r>
    </w:p>
    <w:p w14:paraId="413FAEEB" w14:textId="64DBF565" w:rsidR="00E04F15" w:rsidRDefault="00E04F15" w:rsidP="00E019F0">
      <w:pPr>
        <w:ind w:left="720"/>
        <w:rPr>
          <w:lang w:val="en-GB"/>
        </w:rPr>
      </w:pPr>
      <w:r>
        <w:rPr>
          <w:lang w:val="en-GB"/>
        </w:rPr>
        <w:t xml:space="preserve">- Whether </w:t>
      </w:r>
      <w:r w:rsidR="0037129E">
        <w:rPr>
          <w:lang w:val="en-GB"/>
        </w:rPr>
        <w:t>early TA acquisition has been performed</w:t>
      </w:r>
    </w:p>
    <w:p w14:paraId="6B221A82" w14:textId="2780B29F" w:rsidR="00D64F51" w:rsidRDefault="0037129E" w:rsidP="0058177F">
      <w:pPr>
        <w:rPr>
          <w:lang w:val="en-GB"/>
        </w:rPr>
      </w:pPr>
      <w:r>
        <w:rPr>
          <w:lang w:val="en-GB"/>
        </w:rPr>
        <w:t>Because of the large variation on the supported scenarios</w:t>
      </w:r>
      <w:r w:rsidR="0058177F">
        <w:rPr>
          <w:lang w:val="en-GB"/>
        </w:rPr>
        <w:t>, RAN4 needs to discuss which of the scenarios need to be tested to have good coverage of testing the core requirements.</w:t>
      </w:r>
      <w:r w:rsidR="00D717EE">
        <w:rPr>
          <w:lang w:val="en-GB"/>
        </w:rPr>
        <w:t xml:space="preserve"> </w:t>
      </w:r>
      <w:r w:rsidR="004E2762">
        <w:rPr>
          <w:lang w:val="en-GB"/>
        </w:rPr>
        <w:t xml:space="preserve">RAN4 should also discuss how to take </w:t>
      </w:r>
      <w:r w:rsidR="00764C3D">
        <w:rPr>
          <w:lang w:val="en-GB"/>
        </w:rPr>
        <w:t xml:space="preserve">early TCI state activation and TA acquisition into account in the test cases for LTM cell switch delay. </w:t>
      </w:r>
      <w:r w:rsidR="003018E1">
        <w:rPr>
          <w:lang w:val="en-GB"/>
        </w:rPr>
        <w:t xml:space="preserve">One way is to include all these procedures in the </w:t>
      </w:r>
      <w:r w:rsidR="001515AC">
        <w:rPr>
          <w:lang w:val="en-GB"/>
        </w:rPr>
        <w:t>same test case at least for some test cases.</w:t>
      </w:r>
    </w:p>
    <w:p w14:paraId="677C6F31" w14:textId="0F513390" w:rsidR="00D56608" w:rsidRDefault="00D717EE" w:rsidP="0058177F">
      <w:pPr>
        <w:rPr>
          <w:lang w:val="en-GB"/>
        </w:rPr>
      </w:pPr>
      <w:r>
        <w:rPr>
          <w:lang w:val="en-GB"/>
        </w:rPr>
        <w:t>RAN4 to consider defining test cases fo</w:t>
      </w:r>
      <w:r w:rsidR="008D4803">
        <w:rPr>
          <w:lang w:val="en-GB"/>
        </w:rPr>
        <w:t>r:</w:t>
      </w:r>
    </w:p>
    <w:p w14:paraId="6432ED89" w14:textId="57A6825D" w:rsidR="00D56608" w:rsidRPr="00E019F0" w:rsidRDefault="00D717EE" w:rsidP="00E019F0">
      <w:pPr>
        <w:pStyle w:val="RAN4proposal"/>
        <w:rPr>
          <w:lang w:val="en-GB"/>
        </w:rPr>
      </w:pPr>
      <w:bookmarkStart w:id="11" w:name="_Toc146625286"/>
      <w:bookmarkStart w:id="12" w:name="_Toc146625287"/>
      <w:bookmarkStart w:id="13" w:name="_Toc146729700"/>
      <w:bookmarkEnd w:id="11"/>
      <w:bookmarkEnd w:id="12"/>
      <w:r w:rsidRPr="00E019F0">
        <w:rPr>
          <w:lang w:val="en-GB"/>
        </w:rPr>
        <w:t>For LTM cell switch, RAN4 to consider defining test cases for</w:t>
      </w:r>
      <w:bookmarkEnd w:id="13"/>
    </w:p>
    <w:p w14:paraId="10CF94B0" w14:textId="77777777" w:rsidR="00D56608" w:rsidRPr="00E019F0" w:rsidRDefault="00D56608" w:rsidP="00D56608">
      <w:pPr>
        <w:pStyle w:val="ListParagraph"/>
        <w:numPr>
          <w:ilvl w:val="0"/>
          <w:numId w:val="25"/>
        </w:numPr>
        <w:rPr>
          <w:b/>
          <w:bCs/>
          <w:lang w:val="en-GB"/>
        </w:rPr>
      </w:pPr>
      <w:r w:rsidRPr="00E019F0">
        <w:rPr>
          <w:b/>
          <w:bCs/>
          <w:lang w:val="en-GB"/>
        </w:rPr>
        <w:t xml:space="preserve">RACH-based cell switch with TCI </w:t>
      </w:r>
      <w:proofErr w:type="spellStart"/>
      <w:r w:rsidRPr="00E019F0">
        <w:rPr>
          <w:b/>
          <w:bCs/>
          <w:lang w:val="en-GB"/>
        </w:rPr>
        <w:t>activation+indication</w:t>
      </w:r>
      <w:proofErr w:type="spellEnd"/>
      <w:r w:rsidRPr="00E019F0">
        <w:rPr>
          <w:b/>
          <w:bCs/>
          <w:lang w:val="en-GB"/>
        </w:rPr>
        <w:t xml:space="preserve"> at cell switch command</w:t>
      </w:r>
    </w:p>
    <w:p w14:paraId="0687D758" w14:textId="77777777" w:rsidR="00D56608" w:rsidRPr="00E019F0" w:rsidRDefault="00D56608" w:rsidP="00D56608">
      <w:pPr>
        <w:pStyle w:val="ListParagraph"/>
        <w:numPr>
          <w:ilvl w:val="0"/>
          <w:numId w:val="25"/>
        </w:numPr>
        <w:rPr>
          <w:b/>
          <w:bCs/>
          <w:lang w:val="en-GB"/>
        </w:rPr>
      </w:pPr>
      <w:r w:rsidRPr="00E019F0">
        <w:rPr>
          <w:b/>
          <w:bCs/>
          <w:lang w:val="en-GB"/>
        </w:rPr>
        <w:t>RACH-based cell switch with early TCI state activation</w:t>
      </w:r>
    </w:p>
    <w:p w14:paraId="245CEF50" w14:textId="77777777" w:rsidR="00D56608" w:rsidRPr="00E019F0" w:rsidRDefault="00D56608" w:rsidP="00D56608">
      <w:pPr>
        <w:pStyle w:val="ListParagraph"/>
        <w:numPr>
          <w:ilvl w:val="0"/>
          <w:numId w:val="25"/>
        </w:numPr>
        <w:rPr>
          <w:b/>
          <w:bCs/>
          <w:lang w:val="en-GB"/>
        </w:rPr>
      </w:pPr>
      <w:r w:rsidRPr="00E019F0">
        <w:rPr>
          <w:b/>
          <w:bCs/>
          <w:lang w:val="en-GB"/>
        </w:rPr>
        <w:t xml:space="preserve">RACH-less cell switch with TCI state </w:t>
      </w:r>
      <w:proofErr w:type="spellStart"/>
      <w:r w:rsidRPr="00E019F0">
        <w:rPr>
          <w:b/>
          <w:bCs/>
          <w:lang w:val="en-GB"/>
        </w:rPr>
        <w:t>activation+indication</w:t>
      </w:r>
      <w:proofErr w:type="spellEnd"/>
      <w:r w:rsidRPr="00E019F0">
        <w:rPr>
          <w:b/>
          <w:bCs/>
          <w:lang w:val="en-GB"/>
        </w:rPr>
        <w:t xml:space="preserve"> at cell switch command</w:t>
      </w:r>
    </w:p>
    <w:p w14:paraId="1C558736" w14:textId="77777777" w:rsidR="00D56608" w:rsidRPr="00E019F0" w:rsidRDefault="00D56608" w:rsidP="00D56608">
      <w:pPr>
        <w:pStyle w:val="ListParagraph"/>
        <w:numPr>
          <w:ilvl w:val="0"/>
          <w:numId w:val="25"/>
        </w:numPr>
        <w:rPr>
          <w:b/>
          <w:bCs/>
          <w:lang w:val="en-GB"/>
        </w:rPr>
      </w:pPr>
      <w:r w:rsidRPr="00E019F0">
        <w:rPr>
          <w:b/>
          <w:bCs/>
          <w:lang w:val="en-GB"/>
        </w:rPr>
        <w:t>RACH-less cell switch with early TCI state activation</w:t>
      </w:r>
    </w:p>
    <w:p w14:paraId="2885FADF" w14:textId="470C83E9" w:rsidR="00D56608" w:rsidRDefault="008D4803" w:rsidP="00E019F0">
      <w:pPr>
        <w:pStyle w:val="RAN4proposal"/>
        <w:rPr>
          <w:lang w:val="en-GB"/>
        </w:rPr>
      </w:pPr>
      <w:bookmarkStart w:id="14" w:name="_Toc146729701"/>
      <w:r>
        <w:rPr>
          <w:lang w:val="en-GB"/>
        </w:rPr>
        <w:lastRenderedPageBreak/>
        <w:t xml:space="preserve">RAN4 to define LTM cell switch test cases </w:t>
      </w:r>
      <w:r w:rsidR="00314820">
        <w:rPr>
          <w:lang w:val="en-GB"/>
        </w:rPr>
        <w:t xml:space="preserve">for </w:t>
      </w:r>
      <w:r w:rsidR="00D56608" w:rsidRPr="004E619A">
        <w:rPr>
          <w:bCs/>
          <w:lang w:val="en-GB"/>
        </w:rPr>
        <w:t>FR1 and FR2</w:t>
      </w:r>
      <w:r w:rsidR="00D56608">
        <w:rPr>
          <w:lang w:val="en-GB"/>
        </w:rPr>
        <w:t xml:space="preserve"> and </w:t>
      </w:r>
      <w:r w:rsidR="00D56608" w:rsidRPr="004E619A">
        <w:rPr>
          <w:bCs/>
          <w:lang w:val="en-GB"/>
        </w:rPr>
        <w:t xml:space="preserve">target cell being a neighbour cell or </w:t>
      </w:r>
      <w:r>
        <w:rPr>
          <w:bCs/>
          <w:lang w:val="en-GB"/>
        </w:rPr>
        <w:t xml:space="preserve">a </w:t>
      </w:r>
      <w:r w:rsidR="00D56608" w:rsidRPr="004E619A">
        <w:rPr>
          <w:bCs/>
          <w:lang w:val="en-GB"/>
        </w:rPr>
        <w:t>current serving cell</w:t>
      </w:r>
      <w:r w:rsidR="00D56608">
        <w:rPr>
          <w:lang w:val="en-GB"/>
        </w:rPr>
        <w:t>.</w:t>
      </w:r>
      <w:bookmarkEnd w:id="14"/>
    </w:p>
    <w:p w14:paraId="113C7B0B" w14:textId="77777777" w:rsidR="00566419" w:rsidRPr="00566419" w:rsidRDefault="00566419" w:rsidP="00566419">
      <w:pPr>
        <w:rPr>
          <w:lang w:val="en-GB"/>
        </w:rPr>
      </w:pPr>
    </w:p>
    <w:p w14:paraId="0CEBD191" w14:textId="496B9A2F" w:rsidR="00EA7D41" w:rsidRDefault="00EA7D41" w:rsidP="00EA7D41">
      <w:pPr>
        <w:pStyle w:val="RAN4H2"/>
        <w:rPr>
          <w:rStyle w:val="normaltextrun"/>
          <w:color w:val="000000"/>
          <w:shd w:val="clear" w:color="auto" w:fill="FFFFFF"/>
        </w:rPr>
      </w:pPr>
      <w:r w:rsidRPr="00EA7D41">
        <w:rPr>
          <w:rStyle w:val="normaltextrun"/>
          <w:color w:val="000000"/>
          <w:shd w:val="clear" w:color="auto" w:fill="FFFFFF"/>
        </w:rPr>
        <w:t>Improvement on SCell/SCG setup delay</w:t>
      </w:r>
    </w:p>
    <w:p w14:paraId="562F4EA5" w14:textId="09B5E253" w:rsidR="00BC415E" w:rsidRDefault="00841639" w:rsidP="00C5417D">
      <w:r>
        <w:t xml:space="preserve">The requirements for the SCell/SCG setup delay are still under discussion in RAN4. However, it has been agreed that </w:t>
      </w:r>
      <w:r w:rsidR="00BC415E">
        <w:t>two solutions are discussed in parallel: solution with and without enhanced measurements.</w:t>
      </w:r>
    </w:p>
    <w:p w14:paraId="5F768915" w14:textId="09484005" w:rsidR="00EA7D41" w:rsidRDefault="007E1118" w:rsidP="00EA7D41">
      <w:r>
        <w:t>When the UE reports measurements from idle/inactive mode</w:t>
      </w:r>
      <w:r w:rsidR="009416BB">
        <w:t xml:space="preserve">, independent of whether the measurements are purely based on existing measurements or </w:t>
      </w:r>
      <w:r w:rsidR="003C15AE">
        <w:t>whether the UE has performed additional/enhanced measurements during/after connection setup</w:t>
      </w:r>
      <w:r>
        <w:t xml:space="preserve">, the reported measurement results need to fulfil the </w:t>
      </w:r>
      <w:r w:rsidR="003C15AE">
        <w:t xml:space="preserve">measurement </w:t>
      </w:r>
      <w:r>
        <w:t>accuracy requirements</w:t>
      </w:r>
      <w:r w:rsidR="005B42F0">
        <w:t>.</w:t>
      </w:r>
      <w:r w:rsidR="00CC64D8">
        <w:t xml:space="preserve"> Therefore, test cases </w:t>
      </w:r>
      <w:r w:rsidR="00C5417D">
        <w:t>for verifying measurement accuracy of the idle</w:t>
      </w:r>
      <w:r w:rsidR="00CC64D8">
        <w:t>/inactive</w:t>
      </w:r>
      <w:r w:rsidR="00C5417D">
        <w:t xml:space="preserve"> mode measurements reported by the UE</w:t>
      </w:r>
      <w:r w:rsidR="00CC64D8">
        <w:t xml:space="preserve"> are needed.</w:t>
      </w:r>
    </w:p>
    <w:p w14:paraId="1C40EAF2" w14:textId="26286428" w:rsidR="00C5417D" w:rsidRDefault="00C5417D" w:rsidP="00CC64D8">
      <w:r>
        <w:t xml:space="preserve">There is no need to verify how the UE measures </w:t>
      </w:r>
      <w:r w:rsidR="00851B96">
        <w:t xml:space="preserve">or reports </w:t>
      </w:r>
      <w:r>
        <w:t xml:space="preserve">during idle/inactive mode, because in this WI, this is up to UE implementation. What needs to be verified is that when the UE indicates that it has idle mode measurements available </w:t>
      </w:r>
      <w:r w:rsidR="00544A4D">
        <w:t xml:space="preserve">(with or without enhanced measurements) </w:t>
      </w:r>
      <w:r>
        <w:t xml:space="preserve">for the configured carrier, the measurement accuracy of those reported measurements is fulfilled. </w:t>
      </w:r>
    </w:p>
    <w:p w14:paraId="0B6B511B" w14:textId="648BDBE3" w:rsidR="00C5417D" w:rsidRDefault="00C5417D" w:rsidP="0089380E">
      <w:r>
        <w:t>Reporting details during the test case depend on how RAN2 defines the reporting (</w:t>
      </w:r>
      <w:proofErr w:type="gramStart"/>
      <w:r>
        <w:t>e.g.</w:t>
      </w:r>
      <w:proofErr w:type="gramEnd"/>
      <w:r>
        <w:t xml:space="preserve"> whether the report can be sent on predefined time instances or whether the reporting is dynamic and/or based on response/request as in Rel-16.). Depending on the RAN2 defined reporting, there may be different test cases for </w:t>
      </w:r>
      <w:proofErr w:type="gramStart"/>
      <w:r>
        <w:t>e.g.</w:t>
      </w:r>
      <w:proofErr w:type="gramEnd"/>
      <w:r>
        <w:t xml:space="preserve"> the case when </w:t>
      </w:r>
    </w:p>
    <w:p w14:paraId="572ED44B" w14:textId="5AA94C34" w:rsidR="00EA7D41" w:rsidRDefault="00EA7D41" w:rsidP="009C577A">
      <w:pPr>
        <w:ind w:left="720"/>
      </w:pPr>
      <w:r>
        <w:t xml:space="preserve">- UE </w:t>
      </w:r>
      <w:r w:rsidR="00747A3E">
        <w:t>has idle/inactive mod measurements available</w:t>
      </w:r>
      <w:r>
        <w:t xml:space="preserve"> at RRC setup complete</w:t>
      </w:r>
      <w:r w:rsidR="00A820EE">
        <w:t xml:space="preserve"> (verifying the case without enhanced measurements)</w:t>
      </w:r>
    </w:p>
    <w:p w14:paraId="6DEA8E0D" w14:textId="68F2E6E0" w:rsidR="00EC4844" w:rsidRPr="00EA7D41" w:rsidRDefault="00EA7D41" w:rsidP="009C577A">
      <w:pPr>
        <w:ind w:left="720"/>
      </w:pPr>
      <w:r>
        <w:t xml:space="preserve">- UE </w:t>
      </w:r>
      <w:r w:rsidR="003119B6">
        <w:t xml:space="preserve">continues enhanced measurements during RRC setup and connected mode, and has measurements ready for reporting during connected mode </w:t>
      </w:r>
      <w:r w:rsidR="00A820EE">
        <w:t>(verifying the case with enhanced measurements)</w:t>
      </w:r>
    </w:p>
    <w:p w14:paraId="6A92DF6F" w14:textId="2B307864" w:rsidR="001F32C5" w:rsidRDefault="00FB0124" w:rsidP="001F32C5">
      <w:pPr>
        <w:pStyle w:val="RAN4proposal"/>
      </w:pPr>
      <w:bookmarkStart w:id="15" w:name="_Toc146729702"/>
      <w:r>
        <w:t xml:space="preserve">For </w:t>
      </w:r>
      <w:proofErr w:type="spellStart"/>
      <w:r w:rsidR="002D323D">
        <w:t>eEMR</w:t>
      </w:r>
      <w:proofErr w:type="spellEnd"/>
      <w:r w:rsidR="002D323D">
        <w:t xml:space="preserve">, define test cases for verifying measurement accuracy of UE reported idle/inactive mode </w:t>
      </w:r>
      <w:r w:rsidR="00BD4F51">
        <w:t xml:space="preserve">measurements </w:t>
      </w:r>
      <w:r w:rsidR="004A677B">
        <w:t>for the cases with and without enhanced measurements</w:t>
      </w:r>
      <w:r w:rsidR="009F0039">
        <w:t xml:space="preserve">. The details of the </w:t>
      </w:r>
      <w:r w:rsidR="00DF3328">
        <w:t xml:space="preserve">measurements and </w:t>
      </w:r>
      <w:r w:rsidR="009F0039">
        <w:t xml:space="preserve">reporting </w:t>
      </w:r>
      <w:r w:rsidR="00DF3328">
        <w:t>are</w:t>
      </w:r>
      <w:r w:rsidR="009F0039">
        <w:t xml:space="preserve"> depending on further RAN4 and RAN2 agreements.</w:t>
      </w:r>
      <w:bookmarkEnd w:id="15"/>
      <w:r w:rsidR="009F0039">
        <w:t xml:space="preserve"> </w:t>
      </w:r>
      <w:r w:rsidR="002D323D">
        <w:t xml:space="preserve"> </w:t>
      </w:r>
    </w:p>
    <w:p w14:paraId="49E23795" w14:textId="77777777" w:rsidR="009416BB" w:rsidRDefault="009416BB" w:rsidP="00EA7D41"/>
    <w:p w14:paraId="5933013A" w14:textId="1DA378CF" w:rsidR="00974243" w:rsidRDefault="00EA7D41" w:rsidP="00974243">
      <w:pPr>
        <w:pStyle w:val="RAN4H2"/>
      </w:pPr>
      <w:r>
        <w:t>CHO</w:t>
      </w:r>
      <w:r w:rsidR="005F3640">
        <w:t xml:space="preserve"> enhancements</w:t>
      </w:r>
    </w:p>
    <w:p w14:paraId="60959EDB" w14:textId="77777777" w:rsidR="00974243" w:rsidRDefault="00974243" w:rsidP="00974243">
      <w:r>
        <w:t>For conditional handover enhancements, core requirements have been defined for:</w:t>
      </w:r>
    </w:p>
    <w:p w14:paraId="0F991ED2" w14:textId="77777777" w:rsidR="00974243" w:rsidRDefault="00974243" w:rsidP="00974243">
      <w:pPr>
        <w:pStyle w:val="ListParagraph"/>
        <w:numPr>
          <w:ilvl w:val="0"/>
          <w:numId w:val="26"/>
        </w:numPr>
      </w:pPr>
      <w:r>
        <w:t>CHO with target PSCell</w:t>
      </w:r>
    </w:p>
    <w:p w14:paraId="175D1C61" w14:textId="77A93E10" w:rsidR="00974243" w:rsidRDefault="00974243" w:rsidP="00974243">
      <w:pPr>
        <w:pStyle w:val="ListParagraph"/>
        <w:numPr>
          <w:ilvl w:val="0"/>
          <w:numId w:val="26"/>
        </w:numPr>
      </w:pPr>
      <w:r>
        <w:t>CHO with candidate PSCell</w:t>
      </w:r>
    </w:p>
    <w:p w14:paraId="2C49B05A" w14:textId="7B0CB55F" w:rsidR="00612023" w:rsidRDefault="00F26496" w:rsidP="00612023">
      <w:pPr>
        <w:rPr>
          <w:snapToGrid w:val="0"/>
        </w:rPr>
      </w:pPr>
      <w:r>
        <w:t xml:space="preserve">Existing test cases for CHO </w:t>
      </w:r>
      <w:r w:rsidR="00C57C5C">
        <w:t xml:space="preserve">(without PSCell) </w:t>
      </w:r>
      <w:r>
        <w:t>are defined in</w:t>
      </w:r>
      <w:r w:rsidR="00D207AB">
        <w:t xml:space="preserve"> </w:t>
      </w:r>
      <w:r w:rsidR="00D207AB" w:rsidRPr="00D207AB">
        <w:t xml:space="preserve">A.6.3.3 </w:t>
      </w:r>
      <w:r>
        <w:t>and</w:t>
      </w:r>
      <w:r w:rsidR="00AE1E00">
        <w:t xml:space="preserve"> </w:t>
      </w:r>
      <w:r w:rsidR="00AE1E00" w:rsidRPr="007229CD">
        <w:rPr>
          <w:snapToGrid w:val="0"/>
        </w:rPr>
        <w:t>A.7.3.3</w:t>
      </w:r>
      <w:r w:rsidR="00C57C5C">
        <w:rPr>
          <w:snapToGrid w:val="0"/>
        </w:rPr>
        <w:t>.</w:t>
      </w:r>
      <w:r w:rsidR="00410E5E">
        <w:rPr>
          <w:snapToGrid w:val="0"/>
        </w:rPr>
        <w:t xml:space="preserve"> Existing test cases for HO with PSCell </w:t>
      </w:r>
      <w:r w:rsidR="000845BA">
        <w:rPr>
          <w:snapToGrid w:val="0"/>
        </w:rPr>
        <w:t>are</w:t>
      </w:r>
      <w:r w:rsidR="00410E5E">
        <w:rPr>
          <w:snapToGrid w:val="0"/>
        </w:rPr>
        <w:t xml:space="preserve"> defined in </w:t>
      </w:r>
      <w:r w:rsidR="00D41C0C">
        <w:rPr>
          <w:snapToGrid w:val="0"/>
        </w:rPr>
        <w:t>A.4.3.3</w:t>
      </w:r>
      <w:r w:rsidR="00EE7253">
        <w:rPr>
          <w:snapToGrid w:val="0"/>
        </w:rPr>
        <w:t xml:space="preserve"> (EN-DC FR1)</w:t>
      </w:r>
      <w:r w:rsidR="00285DD9">
        <w:rPr>
          <w:snapToGrid w:val="0"/>
        </w:rPr>
        <w:t>,</w:t>
      </w:r>
      <w:r w:rsidR="00C41997">
        <w:rPr>
          <w:snapToGrid w:val="0"/>
        </w:rPr>
        <w:t xml:space="preserve"> </w:t>
      </w:r>
      <w:r w:rsidR="00410E5E">
        <w:rPr>
          <w:snapToGrid w:val="0"/>
        </w:rPr>
        <w:t>A.5.3.3</w:t>
      </w:r>
      <w:r w:rsidR="00EE7253">
        <w:rPr>
          <w:snapToGrid w:val="0"/>
        </w:rPr>
        <w:t xml:space="preserve"> (EN-DC FR2)</w:t>
      </w:r>
      <w:r w:rsidR="00410E5E">
        <w:rPr>
          <w:snapToGrid w:val="0"/>
        </w:rPr>
        <w:t xml:space="preserve"> </w:t>
      </w:r>
      <w:r w:rsidR="00285DD9">
        <w:rPr>
          <w:snapToGrid w:val="0"/>
        </w:rPr>
        <w:t xml:space="preserve">and A.7.3.1.8 </w:t>
      </w:r>
      <w:r w:rsidR="00410E5E">
        <w:rPr>
          <w:snapToGrid w:val="0"/>
        </w:rPr>
        <w:t>(</w:t>
      </w:r>
      <w:r w:rsidR="00285DD9">
        <w:rPr>
          <w:snapToGrid w:val="0"/>
        </w:rPr>
        <w:t>NR-DC FR1+FR2</w:t>
      </w:r>
      <w:r w:rsidR="00D41C0C">
        <w:rPr>
          <w:snapToGrid w:val="0"/>
        </w:rPr>
        <w:t>)</w:t>
      </w:r>
      <w:r w:rsidR="001D5772">
        <w:rPr>
          <w:snapToGrid w:val="0"/>
        </w:rPr>
        <w:t>, where the tests evaluate PRACH transmission timing</w:t>
      </w:r>
      <w:r w:rsidR="0056478B">
        <w:rPr>
          <w:snapToGrid w:val="0"/>
        </w:rPr>
        <w:t xml:space="preserve"> and time to send the first CSI report after target PSCell is added</w:t>
      </w:r>
      <w:r w:rsidR="001D5772">
        <w:rPr>
          <w:snapToGrid w:val="0"/>
        </w:rPr>
        <w:t>.</w:t>
      </w:r>
      <w:r w:rsidR="00C57C5C">
        <w:rPr>
          <w:snapToGrid w:val="0"/>
        </w:rPr>
        <w:t xml:space="preserve"> Similar test cases are needed for the enhanced CHO configurations with target/candidate PSCell. </w:t>
      </w:r>
    </w:p>
    <w:p w14:paraId="3856E816" w14:textId="2EA4F0B4" w:rsidR="00C41997" w:rsidRPr="00C41997" w:rsidRDefault="00D70DE9" w:rsidP="00C41997">
      <w:pPr>
        <w:pStyle w:val="RAN4proposal"/>
      </w:pPr>
      <w:bookmarkStart w:id="16" w:name="_Toc146625292"/>
      <w:bookmarkStart w:id="17" w:name="_Toc146729703"/>
      <w:bookmarkEnd w:id="16"/>
      <w:r>
        <w:t>For CHO enhancements, t</w:t>
      </w:r>
      <w:r w:rsidR="006430F3">
        <w:t>est cases for testing the delay and interruption for PCell and PSCell should be defined for:</w:t>
      </w:r>
      <w:r>
        <w:br/>
      </w:r>
      <w:r w:rsidR="006430F3">
        <w:t>- CHO with target PSCell (FR1+FR1 and FR1+FR2)</w:t>
      </w:r>
      <w:r>
        <w:br/>
      </w:r>
      <w:r w:rsidR="006430F3">
        <w:t>- CHO with candidate PSCell (FR1+FR1 and FR1+FR2)</w:t>
      </w:r>
      <w:bookmarkEnd w:id="17"/>
    </w:p>
    <w:p w14:paraId="53BC1BE1" w14:textId="6C8DA640" w:rsidR="00B84935" w:rsidRDefault="00B84935" w:rsidP="00612023">
      <w:pPr>
        <w:rPr>
          <w:snapToGrid w:val="0"/>
        </w:rPr>
      </w:pPr>
      <w:r>
        <w:rPr>
          <w:snapToGrid w:val="0"/>
        </w:rPr>
        <w:t xml:space="preserve">Regarding CHO with candidate PSCell, two cases exist: </w:t>
      </w:r>
    </w:p>
    <w:p w14:paraId="70B41C3C" w14:textId="438ECC8F" w:rsidR="00127585" w:rsidRDefault="00127585" w:rsidP="005D330E">
      <w:pPr>
        <w:ind w:left="720"/>
        <w:rPr>
          <w:snapToGrid w:val="0"/>
        </w:rPr>
      </w:pPr>
      <w:r w:rsidRPr="005D330E">
        <w:rPr>
          <w:b/>
          <w:bCs/>
          <w:snapToGrid w:val="0"/>
        </w:rPr>
        <w:t>UE is not provided with CHO-only configuration:</w:t>
      </w:r>
      <w:r>
        <w:rPr>
          <w:snapToGrid w:val="0"/>
        </w:rPr>
        <w:t xml:space="preserve"> </w:t>
      </w:r>
      <w:r w:rsidR="004F0CB0">
        <w:rPr>
          <w:snapToGrid w:val="0"/>
        </w:rPr>
        <w:t>UE continues the evaluation of PCell and PSCell conditions until both are met</w:t>
      </w:r>
      <w:r w:rsidR="00A60577">
        <w:rPr>
          <w:snapToGrid w:val="0"/>
        </w:rPr>
        <w:t>.</w:t>
      </w:r>
    </w:p>
    <w:p w14:paraId="2ED9EA22" w14:textId="584A5CC8" w:rsidR="004F0CB0" w:rsidRDefault="004F0CB0" w:rsidP="005D330E">
      <w:pPr>
        <w:ind w:left="720"/>
        <w:rPr>
          <w:snapToGrid w:val="0"/>
        </w:rPr>
      </w:pPr>
      <w:r w:rsidRPr="005D330E">
        <w:rPr>
          <w:b/>
          <w:bCs/>
          <w:snapToGrid w:val="0"/>
        </w:rPr>
        <w:t>UE is provided with CHO-only configuration:</w:t>
      </w:r>
      <w:r>
        <w:rPr>
          <w:snapToGrid w:val="0"/>
        </w:rPr>
        <w:t xml:space="preserve"> UE continues the evaluation of PCell and PSCell conditions until PCell condition is met. If PSCell condition is met at this point as well, UE proceeds with CHO+CPC, otherwise the UE proceeds with CHO without CPC.</w:t>
      </w:r>
    </w:p>
    <w:p w14:paraId="4E0847B8" w14:textId="09AABD8A" w:rsidR="005D330E" w:rsidRPr="005D330E" w:rsidRDefault="005D330E" w:rsidP="005D330E">
      <w:r w:rsidRPr="005D330E">
        <w:rPr>
          <w:snapToGrid w:val="0"/>
        </w:rPr>
        <w:lastRenderedPageBreak/>
        <w:t xml:space="preserve">From test case point of view, </w:t>
      </w:r>
      <w:r w:rsidR="003062BC">
        <w:rPr>
          <w:snapToGrid w:val="0"/>
        </w:rPr>
        <w:t>when the UE proceeds with CHO only</w:t>
      </w:r>
      <w:r w:rsidR="00E41746">
        <w:rPr>
          <w:snapToGrid w:val="0"/>
        </w:rPr>
        <w:t xml:space="preserve"> when it is provided with CHO-only configuration and CHO condition is fulfilled without CPC condition being fulfilled</w:t>
      </w:r>
      <w:r w:rsidR="003062BC">
        <w:rPr>
          <w:snapToGrid w:val="0"/>
        </w:rPr>
        <w:t xml:space="preserve">, the existing test case for CHO applies. </w:t>
      </w:r>
      <w:r w:rsidR="00E41746">
        <w:rPr>
          <w:snapToGrid w:val="0"/>
        </w:rPr>
        <w:t>For the case when the UE proceeds with CHO+CPC</w:t>
      </w:r>
      <w:r w:rsidR="007A509A">
        <w:rPr>
          <w:snapToGrid w:val="0"/>
        </w:rPr>
        <w:t xml:space="preserve">, RAN4 should define a test case using the CHO test case as the </w:t>
      </w:r>
      <w:proofErr w:type="gramStart"/>
      <w:r w:rsidR="007A509A">
        <w:rPr>
          <w:snapToGrid w:val="0"/>
        </w:rPr>
        <w:t>baseline, but</w:t>
      </w:r>
      <w:proofErr w:type="gramEnd"/>
      <w:r w:rsidR="007A509A">
        <w:rPr>
          <w:snapToGrid w:val="0"/>
        </w:rPr>
        <w:t xml:space="preserve"> including both PCell and PSCell in the tests.</w:t>
      </w:r>
    </w:p>
    <w:p w14:paraId="6A289D08" w14:textId="0A605423" w:rsidR="00EA7D41" w:rsidRPr="00EA7D41" w:rsidRDefault="001630B7" w:rsidP="001630B7">
      <w:pPr>
        <w:pStyle w:val="RAN4observation0"/>
      </w:pPr>
      <w:bookmarkStart w:id="18" w:name="_Toc146729704"/>
      <w:r>
        <w:t>No need to define test case for CHO with candidate PSCell for the case when CPC condition is not met and the UE proceeds with CHO-only.</w:t>
      </w:r>
      <w:bookmarkEnd w:id="18"/>
    </w:p>
    <w:p w14:paraId="3483967D" w14:textId="77777777" w:rsidR="00CD7492" w:rsidRPr="00EF698B" w:rsidRDefault="00CD7492" w:rsidP="00A37002">
      <w:pPr>
        <w:pStyle w:val="RAN4H1"/>
        <w:rPr>
          <w:lang w:val="en-US"/>
        </w:rPr>
      </w:pPr>
      <w:bookmarkStart w:id="19" w:name="_Toc116995848"/>
      <w:r w:rsidRPr="00EF698B">
        <w:rPr>
          <w:lang w:val="en-US"/>
        </w:rPr>
        <w:t>Conclusion</w:t>
      </w:r>
      <w:bookmarkEnd w:id="19"/>
    </w:p>
    <w:p w14:paraId="7152AD7A" w14:textId="70EA2ABD" w:rsidR="00EB73F7" w:rsidRPr="00EB73F7" w:rsidRDefault="00EA7D41" w:rsidP="005C23A4">
      <w:pPr>
        <w:rPr>
          <w:rStyle w:val="normaltextrun"/>
          <w:color w:val="000000"/>
          <w:shd w:val="clear" w:color="auto" w:fill="FFFFFF"/>
        </w:rPr>
      </w:pPr>
      <w:r>
        <w:rPr>
          <w:rStyle w:val="normaltextrun"/>
          <w:color w:val="000000"/>
          <w:shd w:val="clear" w:color="auto" w:fill="FFFFFF"/>
        </w:rPr>
        <w:t>T</w:t>
      </w:r>
      <w:r w:rsidR="00EB73F7" w:rsidRPr="0B4C8377">
        <w:rPr>
          <w:rStyle w:val="normaltextrun"/>
          <w:color w:val="000000"/>
          <w:shd w:val="clear" w:color="auto" w:fill="FFFFFF"/>
        </w:rPr>
        <w:t>he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4CEB91E7" w14:textId="07D61425" w:rsidR="00AD4EEF" w:rsidRDefault="00A4355E">
      <w:pPr>
        <w:pStyle w:val="TOC5"/>
        <w:rPr>
          <w:rFonts w:asciiTheme="minorHAnsi" w:eastAsiaTheme="minorEastAsia" w:hAnsiTheme="minorHAnsi"/>
          <w:b w:val="0"/>
          <w:noProof/>
          <w:kern w:val="2"/>
          <w:sz w:val="22"/>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46729695" w:history="1">
        <w:r w:rsidR="00AD4EEF" w:rsidRPr="008515D0">
          <w:rPr>
            <w:rStyle w:val="Hyperlink"/>
            <w:bCs/>
            <w:noProof/>
            <w:lang w:val="en-GB"/>
          </w:rPr>
          <w:t>Proposal 1:</w:t>
        </w:r>
        <w:r w:rsidR="00AD4EEF" w:rsidRPr="008515D0">
          <w:rPr>
            <w:rStyle w:val="Hyperlink"/>
            <w:noProof/>
            <w:lang w:val="en-GB"/>
          </w:rPr>
          <w:t xml:space="preserve"> For subsequent-CPAC testing of PSCell change delay, introduce a new test case to test the delay requirement for PSCell change after a PSCell change.</w:t>
        </w:r>
      </w:hyperlink>
    </w:p>
    <w:p w14:paraId="04492EA7" w14:textId="45AA855F" w:rsidR="00AD4EEF" w:rsidRDefault="00000000">
      <w:pPr>
        <w:pStyle w:val="TOC5"/>
        <w:rPr>
          <w:rFonts w:asciiTheme="minorHAnsi" w:eastAsiaTheme="minorEastAsia" w:hAnsiTheme="minorHAnsi"/>
          <w:b w:val="0"/>
          <w:noProof/>
          <w:kern w:val="2"/>
          <w:sz w:val="22"/>
          <w14:ligatures w14:val="standardContextual"/>
        </w:rPr>
      </w:pPr>
      <w:hyperlink w:anchor="_Toc146729696" w:history="1">
        <w:r w:rsidR="00AD4EEF" w:rsidRPr="008515D0">
          <w:rPr>
            <w:rStyle w:val="Hyperlink"/>
            <w:noProof/>
            <w:lang w:val="en-GB"/>
          </w:rPr>
          <w:t>Proposal 2: Define LTM L1 measurement test cases for intra- and inter-frequency measurements. The details are pending core part conclusion.</w:t>
        </w:r>
      </w:hyperlink>
    </w:p>
    <w:p w14:paraId="068F6715" w14:textId="4AD5BE8A" w:rsidR="00AD4EEF" w:rsidRDefault="00000000">
      <w:pPr>
        <w:pStyle w:val="TOC5"/>
        <w:rPr>
          <w:rFonts w:asciiTheme="minorHAnsi" w:eastAsiaTheme="minorEastAsia" w:hAnsiTheme="minorHAnsi"/>
          <w:b w:val="0"/>
          <w:noProof/>
          <w:kern w:val="2"/>
          <w:sz w:val="22"/>
          <w14:ligatures w14:val="standardContextual"/>
        </w:rPr>
      </w:pPr>
      <w:hyperlink w:anchor="_Toc146729697" w:history="1">
        <w:r w:rsidR="00AD4EEF" w:rsidRPr="008515D0">
          <w:rPr>
            <w:rStyle w:val="Hyperlink"/>
            <w:noProof/>
            <w:lang w:val="en-GB"/>
          </w:rPr>
          <w:t>Proposal 3: Define test cases for L3 measurement reporting in L1 report for intra- and inter-frequency measurements. The details are pending core part conclusion.</w:t>
        </w:r>
      </w:hyperlink>
    </w:p>
    <w:p w14:paraId="46723CC3" w14:textId="4326083F" w:rsidR="00AD4EEF" w:rsidRDefault="00000000">
      <w:pPr>
        <w:pStyle w:val="TOC4"/>
        <w:rPr>
          <w:rFonts w:asciiTheme="minorHAnsi" w:eastAsiaTheme="minorEastAsia" w:hAnsiTheme="minorHAnsi"/>
          <w:noProof/>
          <w:kern w:val="2"/>
          <w:sz w:val="22"/>
          <w14:ligatures w14:val="standardContextual"/>
        </w:rPr>
      </w:pPr>
      <w:hyperlink w:anchor="_Toc146729698" w:history="1">
        <w:r w:rsidR="00AD4EEF" w:rsidRPr="008515D0">
          <w:rPr>
            <w:rStyle w:val="Hyperlink"/>
            <w:b/>
            <w:noProof/>
          </w:rPr>
          <w:t>Observation 1:</w:t>
        </w:r>
        <w:r w:rsidR="00AD4EEF" w:rsidRPr="008515D0">
          <w:rPr>
            <w:rStyle w:val="Hyperlink"/>
            <w:noProof/>
          </w:rPr>
          <w:t xml:space="preserve"> No need to define a separate test case for early TCI state activation if it is tested in LTM cell switch test case.</w:t>
        </w:r>
      </w:hyperlink>
    </w:p>
    <w:p w14:paraId="2791DE28" w14:textId="07C24712" w:rsidR="00AD4EEF" w:rsidRDefault="00000000">
      <w:pPr>
        <w:pStyle w:val="TOC5"/>
        <w:rPr>
          <w:rFonts w:asciiTheme="minorHAnsi" w:eastAsiaTheme="minorEastAsia" w:hAnsiTheme="minorHAnsi"/>
          <w:b w:val="0"/>
          <w:noProof/>
          <w:kern w:val="2"/>
          <w:sz w:val="22"/>
          <w14:ligatures w14:val="standardContextual"/>
        </w:rPr>
      </w:pPr>
      <w:hyperlink w:anchor="_Toc146729699" w:history="1">
        <w:r w:rsidR="00AD4EEF" w:rsidRPr="008515D0">
          <w:rPr>
            <w:rStyle w:val="Hyperlink"/>
            <w:noProof/>
            <w:lang w:val="en-GB"/>
          </w:rPr>
          <w:t>Proposal 4: RAN4 to consider defining a test case for early TA acquisition based on PDCCH order separately from LTM cell switch and/or together with LTM cell switch. Details of the test case(s) are pending core part agreements.</w:t>
        </w:r>
      </w:hyperlink>
    </w:p>
    <w:p w14:paraId="22046BCA" w14:textId="391168DE" w:rsidR="00AD4EEF" w:rsidRDefault="00000000">
      <w:pPr>
        <w:pStyle w:val="TOC5"/>
        <w:rPr>
          <w:rFonts w:asciiTheme="minorHAnsi" w:eastAsiaTheme="minorEastAsia" w:hAnsiTheme="minorHAnsi"/>
          <w:b w:val="0"/>
          <w:noProof/>
          <w:kern w:val="2"/>
          <w:sz w:val="22"/>
          <w14:ligatures w14:val="standardContextual"/>
        </w:rPr>
      </w:pPr>
      <w:hyperlink w:anchor="_Toc146729700" w:history="1">
        <w:r w:rsidR="00AD4EEF" w:rsidRPr="008515D0">
          <w:rPr>
            <w:rStyle w:val="Hyperlink"/>
            <w:noProof/>
            <w:lang w:val="en-GB"/>
          </w:rPr>
          <w:t>Proposal 5: For LTM cell switch, RAN4 to consider defining test cases for</w:t>
        </w:r>
      </w:hyperlink>
    </w:p>
    <w:p w14:paraId="1EA7F442" w14:textId="0FD3489C" w:rsidR="00AD4EEF" w:rsidRDefault="00000000">
      <w:pPr>
        <w:pStyle w:val="TOC5"/>
        <w:rPr>
          <w:rFonts w:asciiTheme="minorHAnsi" w:eastAsiaTheme="minorEastAsia" w:hAnsiTheme="minorHAnsi"/>
          <w:b w:val="0"/>
          <w:noProof/>
          <w:kern w:val="2"/>
          <w:sz w:val="22"/>
          <w14:ligatures w14:val="standardContextual"/>
        </w:rPr>
      </w:pPr>
      <w:hyperlink w:anchor="_Toc146729701" w:history="1">
        <w:r w:rsidR="00AD4EEF" w:rsidRPr="008515D0">
          <w:rPr>
            <w:rStyle w:val="Hyperlink"/>
            <w:noProof/>
            <w:lang w:val="en-GB"/>
          </w:rPr>
          <w:t xml:space="preserve">Proposal 6: RAN4 to define LTM cell switch test cases for </w:t>
        </w:r>
        <w:r w:rsidR="00AD4EEF" w:rsidRPr="008515D0">
          <w:rPr>
            <w:rStyle w:val="Hyperlink"/>
            <w:bCs/>
            <w:noProof/>
            <w:lang w:val="en-GB"/>
          </w:rPr>
          <w:t>FR1 and FR2</w:t>
        </w:r>
        <w:r w:rsidR="00AD4EEF" w:rsidRPr="008515D0">
          <w:rPr>
            <w:rStyle w:val="Hyperlink"/>
            <w:noProof/>
            <w:lang w:val="en-GB"/>
          </w:rPr>
          <w:t xml:space="preserve"> and </w:t>
        </w:r>
        <w:r w:rsidR="00AD4EEF" w:rsidRPr="008515D0">
          <w:rPr>
            <w:rStyle w:val="Hyperlink"/>
            <w:bCs/>
            <w:noProof/>
            <w:lang w:val="en-GB"/>
          </w:rPr>
          <w:t>target cell being a neighbour cell or a current serving cell</w:t>
        </w:r>
        <w:r w:rsidR="00AD4EEF" w:rsidRPr="008515D0">
          <w:rPr>
            <w:rStyle w:val="Hyperlink"/>
            <w:noProof/>
            <w:lang w:val="en-GB"/>
          </w:rPr>
          <w:t>.</w:t>
        </w:r>
      </w:hyperlink>
    </w:p>
    <w:p w14:paraId="2C525395" w14:textId="7211DC68" w:rsidR="00AD4EEF" w:rsidRDefault="00000000">
      <w:pPr>
        <w:pStyle w:val="TOC5"/>
        <w:rPr>
          <w:rFonts w:asciiTheme="minorHAnsi" w:eastAsiaTheme="minorEastAsia" w:hAnsiTheme="minorHAnsi"/>
          <w:b w:val="0"/>
          <w:noProof/>
          <w:kern w:val="2"/>
          <w:sz w:val="22"/>
          <w14:ligatures w14:val="standardContextual"/>
        </w:rPr>
      </w:pPr>
      <w:hyperlink w:anchor="_Toc146729702" w:history="1">
        <w:r w:rsidR="00AD4EEF" w:rsidRPr="008515D0">
          <w:rPr>
            <w:rStyle w:val="Hyperlink"/>
            <w:noProof/>
          </w:rPr>
          <w:t>Proposal 7: For eEMR, define test cases for verifying measurement accuracy of UE reported idle/inactive mode measurements for the cases with and without enhanced measurements. The details of the measurements and reporting are depending on further RAN4 and RAN2 agreements.</w:t>
        </w:r>
      </w:hyperlink>
    </w:p>
    <w:p w14:paraId="6D5D392B" w14:textId="1497C425" w:rsidR="00AD4EEF" w:rsidRDefault="00000000">
      <w:pPr>
        <w:pStyle w:val="TOC5"/>
        <w:rPr>
          <w:rFonts w:asciiTheme="minorHAnsi" w:eastAsiaTheme="minorEastAsia" w:hAnsiTheme="minorHAnsi"/>
          <w:b w:val="0"/>
          <w:noProof/>
          <w:kern w:val="2"/>
          <w:sz w:val="22"/>
          <w14:ligatures w14:val="standardContextual"/>
        </w:rPr>
      </w:pPr>
      <w:hyperlink w:anchor="_Toc146729703" w:history="1">
        <w:r w:rsidR="00AD4EEF" w:rsidRPr="008515D0">
          <w:rPr>
            <w:rStyle w:val="Hyperlink"/>
            <w:noProof/>
          </w:rPr>
          <w:t>Proposal 8: For CHO enhancements, test cases for testing the delay and interruption for PCell and PSCell should be defined for: - CHO with target PSCell (FR1+FR1 and FR1+FR2) - CHO with candidate PSCell (FR1+FR1 and FR1+FR2)</w:t>
        </w:r>
      </w:hyperlink>
    </w:p>
    <w:p w14:paraId="2C670FBF" w14:textId="18D8D36F" w:rsidR="00AD4EEF" w:rsidRDefault="00000000">
      <w:pPr>
        <w:pStyle w:val="TOC4"/>
        <w:rPr>
          <w:rFonts w:asciiTheme="minorHAnsi" w:eastAsiaTheme="minorEastAsia" w:hAnsiTheme="minorHAnsi"/>
          <w:noProof/>
          <w:kern w:val="2"/>
          <w:sz w:val="22"/>
          <w14:ligatures w14:val="standardContextual"/>
        </w:rPr>
      </w:pPr>
      <w:hyperlink w:anchor="_Toc146729704" w:history="1">
        <w:r w:rsidR="00AD4EEF" w:rsidRPr="008515D0">
          <w:rPr>
            <w:rStyle w:val="Hyperlink"/>
            <w:b/>
            <w:noProof/>
          </w:rPr>
          <w:t>Observation 2:</w:t>
        </w:r>
        <w:r w:rsidR="00AD4EEF" w:rsidRPr="008515D0">
          <w:rPr>
            <w:rStyle w:val="Hyperlink"/>
            <w:noProof/>
          </w:rPr>
          <w:t xml:space="preserve"> No need to define test case for CHO with candidate PSCell for the case when CPC condition is not met and the UE proceeds with CHO-only.</w:t>
        </w:r>
      </w:hyperlink>
    </w:p>
    <w:p w14:paraId="12DDF9E6" w14:textId="08D3E63C" w:rsidR="003B659E" w:rsidRPr="0060543D" w:rsidRDefault="00A4355E" w:rsidP="0060543D">
      <w:pPr>
        <w:pStyle w:val="RAN4H1"/>
        <w:numPr>
          <w:ilvl w:val="0"/>
          <w:numId w:val="0"/>
        </w:numPr>
        <w:ind w:left="360" w:hanging="360"/>
      </w:pPr>
      <w:r>
        <w:rPr>
          <w:noProof/>
        </w:rPr>
        <w:fldChar w:fldCharType="end"/>
      </w:r>
      <w:bookmarkStart w:id="20" w:name="_Toc116995849"/>
      <w:r w:rsidR="003B659E" w:rsidRPr="00EF698B">
        <w:t>References</w:t>
      </w:r>
      <w:bookmarkEnd w:id="20"/>
    </w:p>
    <w:p w14:paraId="7BD2EBE5" w14:textId="59471C80" w:rsidR="00C43319" w:rsidRPr="00545718" w:rsidRDefault="00C43319">
      <w:pPr>
        <w:pStyle w:val="ListParagraph"/>
        <w:numPr>
          <w:ilvl w:val="0"/>
          <w:numId w:val="5"/>
        </w:numPr>
        <w:jc w:val="both"/>
        <w:rPr>
          <w:rFonts w:cs="Times New Roman"/>
          <w:szCs w:val="20"/>
          <w:lang w:val="en-GB"/>
        </w:rPr>
      </w:pPr>
      <w:bookmarkStart w:id="21" w:name="_Ref114500673"/>
      <w:bookmarkStart w:id="22" w:name="_Ref131334507"/>
      <w:bookmarkEnd w:id="21"/>
      <w:r w:rsidRPr="00545718">
        <w:rPr>
          <w:rFonts w:eastAsiaTheme="minorEastAsia" w:cs="Times New Roman"/>
          <w:color w:val="000000"/>
          <w:szCs w:val="20"/>
          <w:lang w:eastAsia="zh-CN"/>
        </w:rPr>
        <w:t>R4-2310046,</w:t>
      </w:r>
      <w:r w:rsidRPr="00545718">
        <w:rPr>
          <w:rFonts w:cs="Times New Roman"/>
          <w:b/>
          <w:bCs/>
          <w:szCs w:val="20"/>
          <w:lang w:val="en-GB"/>
        </w:rPr>
        <w:t xml:space="preserve"> </w:t>
      </w:r>
      <w:r w:rsidRPr="00545718">
        <w:rPr>
          <w:rFonts w:cs="Times New Roman"/>
          <w:szCs w:val="20"/>
        </w:rPr>
        <w:t>WF on NR FR2 Multi-Rx chain DL reception RRM requirements (part 1), Ericsson</w:t>
      </w:r>
      <w:r w:rsidRPr="00545718">
        <w:rPr>
          <w:rFonts w:cs="Times New Roman"/>
          <w:b/>
          <w:bCs/>
          <w:szCs w:val="20"/>
          <w:lang w:val="en-GB"/>
        </w:rPr>
        <w:t xml:space="preserve"> </w:t>
      </w:r>
    </w:p>
    <w:p w14:paraId="06343B28" w14:textId="1BDFF65B" w:rsidR="00814E5B" w:rsidRPr="00545718" w:rsidRDefault="00C43319">
      <w:pPr>
        <w:pStyle w:val="ListParagraph"/>
        <w:numPr>
          <w:ilvl w:val="0"/>
          <w:numId w:val="5"/>
        </w:numPr>
        <w:jc w:val="both"/>
        <w:rPr>
          <w:rStyle w:val="eop"/>
          <w:rFonts w:cs="Times New Roman"/>
          <w:szCs w:val="20"/>
          <w:lang w:val="en-GB"/>
        </w:rPr>
      </w:pPr>
      <w:r w:rsidRPr="00545718">
        <w:rPr>
          <w:rFonts w:cs="Times New Roman"/>
          <w:szCs w:val="20"/>
        </w:rPr>
        <w:t>R4-2310047, WF on NR FR2 Multi-Rx chain DL reception RRM requirements (part 2), Ericsson</w:t>
      </w:r>
      <w:bookmarkEnd w:id="22"/>
    </w:p>
    <w:sectPr w:rsidR="00814E5B" w:rsidRPr="0054571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F7812" w14:textId="77777777" w:rsidR="00F52161" w:rsidRDefault="00F52161" w:rsidP="00001C9B">
      <w:pPr>
        <w:spacing w:after="0" w:line="240" w:lineRule="auto"/>
      </w:pPr>
      <w:r>
        <w:separator/>
      </w:r>
    </w:p>
  </w:endnote>
  <w:endnote w:type="continuationSeparator" w:id="0">
    <w:p w14:paraId="105D276A" w14:textId="77777777" w:rsidR="00F52161" w:rsidRDefault="00F52161" w:rsidP="00001C9B">
      <w:pPr>
        <w:spacing w:after="0" w:line="240" w:lineRule="auto"/>
      </w:pPr>
      <w:r>
        <w:continuationSeparator/>
      </w:r>
    </w:p>
  </w:endnote>
  <w:endnote w:type="continuationNotice" w:id="1">
    <w:p w14:paraId="693CE541" w14:textId="77777777" w:rsidR="00F52161" w:rsidRDefault="00F521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B7F90" w14:textId="77777777" w:rsidR="00F52161" w:rsidRDefault="00F52161" w:rsidP="00001C9B">
      <w:pPr>
        <w:spacing w:after="0" w:line="240" w:lineRule="auto"/>
      </w:pPr>
      <w:r>
        <w:separator/>
      </w:r>
    </w:p>
  </w:footnote>
  <w:footnote w:type="continuationSeparator" w:id="0">
    <w:p w14:paraId="73648ED2" w14:textId="77777777" w:rsidR="00F52161" w:rsidRDefault="00F52161" w:rsidP="00001C9B">
      <w:pPr>
        <w:spacing w:after="0" w:line="240" w:lineRule="auto"/>
      </w:pPr>
      <w:r>
        <w:continuationSeparator/>
      </w:r>
    </w:p>
  </w:footnote>
  <w:footnote w:type="continuationNotice" w:id="1">
    <w:p w14:paraId="5903F602" w14:textId="77777777" w:rsidR="00F52161" w:rsidRDefault="00F521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36FCD"/>
    <w:multiLevelType w:val="multilevel"/>
    <w:tmpl w:val="A01CC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BFC450BE"/>
    <w:lvl w:ilvl="0" w:tplc="F94681BA">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D06393"/>
    <w:multiLevelType w:val="multilevel"/>
    <w:tmpl w:val="86863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021A6F"/>
    <w:multiLevelType w:val="multilevel"/>
    <w:tmpl w:val="9476F8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2F6936"/>
    <w:multiLevelType w:val="hybridMultilevel"/>
    <w:tmpl w:val="5FFCE3D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5126B82"/>
    <w:multiLevelType w:val="hybridMultilevel"/>
    <w:tmpl w:val="37F666CC"/>
    <w:lvl w:ilvl="0" w:tplc="06BE23C8">
      <w:numFmt w:val="bullet"/>
      <w:lvlText w:val="-"/>
      <w:lvlJc w:val="left"/>
      <w:pPr>
        <w:ind w:left="1800" w:hanging="360"/>
      </w:pPr>
      <w:rPr>
        <w:rFonts w:ascii="Times New Roman" w:eastAsiaTheme="minorHAnsi"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9E91783"/>
    <w:multiLevelType w:val="hybridMultilevel"/>
    <w:tmpl w:val="4FE2E6AA"/>
    <w:lvl w:ilvl="0" w:tplc="06BE23C8">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B1E5C67"/>
    <w:multiLevelType w:val="hybridMultilevel"/>
    <w:tmpl w:val="3C40B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FE6EF2"/>
    <w:multiLevelType w:val="multilevel"/>
    <w:tmpl w:val="35AE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5D5A37"/>
    <w:multiLevelType w:val="multilevel"/>
    <w:tmpl w:val="54C6C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4E0092"/>
    <w:multiLevelType w:val="hybridMultilevel"/>
    <w:tmpl w:val="1720A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A108DD"/>
    <w:multiLevelType w:val="hybridMultilevel"/>
    <w:tmpl w:val="7D3E5660"/>
    <w:lvl w:ilvl="0" w:tplc="06BE23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70D77"/>
    <w:multiLevelType w:val="hybridMultilevel"/>
    <w:tmpl w:val="813A24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530169E"/>
    <w:multiLevelType w:val="hybridMultilevel"/>
    <w:tmpl w:val="36641758"/>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45EE7C34"/>
    <w:multiLevelType w:val="hybridMultilevel"/>
    <w:tmpl w:val="F42E4E3C"/>
    <w:lvl w:ilvl="0" w:tplc="04090001">
      <w:start w:val="1"/>
      <w:numFmt w:val="bullet"/>
      <w:lvlText w:val=""/>
      <w:lvlJc w:val="left"/>
      <w:pPr>
        <w:ind w:left="720" w:hanging="360"/>
      </w:pPr>
      <w:rPr>
        <w:rFonts w:ascii="Symbol" w:hAnsi="Symbol" w:hint="default"/>
      </w:rPr>
    </w:lvl>
    <w:lvl w:ilvl="1" w:tplc="E8604D9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531317"/>
    <w:multiLevelType w:val="hybridMultilevel"/>
    <w:tmpl w:val="110EA5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390EAA"/>
    <w:multiLevelType w:val="hybridMultilevel"/>
    <w:tmpl w:val="F8465534"/>
    <w:lvl w:ilvl="0" w:tplc="06BE23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7B037F"/>
    <w:multiLevelType w:val="multilevel"/>
    <w:tmpl w:val="B1E8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13543F"/>
    <w:multiLevelType w:val="hybridMultilevel"/>
    <w:tmpl w:val="8980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D37F5"/>
    <w:multiLevelType w:val="hybridMultilevel"/>
    <w:tmpl w:val="21E6E8B2"/>
    <w:lvl w:ilvl="0" w:tplc="33D4B3B2">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4668B"/>
    <w:multiLevelType w:val="hybridMultilevel"/>
    <w:tmpl w:val="6C34AA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C576B1"/>
    <w:multiLevelType w:val="hybridMultilevel"/>
    <w:tmpl w:val="2822FD84"/>
    <w:lvl w:ilvl="0" w:tplc="42D8BBE0">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990857"/>
    <w:multiLevelType w:val="multilevel"/>
    <w:tmpl w:val="652CD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17D1A85"/>
    <w:multiLevelType w:val="hybridMultilevel"/>
    <w:tmpl w:val="3AF2D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72C71936"/>
    <w:lvl w:ilvl="0">
      <w:start w:val="1"/>
      <w:numFmt w:val="decimal"/>
      <w:lvlText w:val="%1"/>
      <w:lvlJc w:val="left"/>
      <w:pPr>
        <w:tabs>
          <w:tab w:val="left" w:pos="432"/>
        </w:tabs>
        <w:ind w:left="432" w:hanging="432"/>
      </w:pPr>
      <w:rPr>
        <w:strike w:val="0"/>
        <w:dstrike w:val="0"/>
        <w:u w:val="none"/>
        <w:effect w:val="none"/>
      </w:rPr>
    </w:lvl>
    <w:lvl w:ilvl="1">
      <w:start w:val="1"/>
      <w:numFmt w:val="decimal"/>
      <w:lvlText w:val="%1.%2"/>
      <w:lvlJc w:val="left"/>
      <w:pPr>
        <w:tabs>
          <w:tab w:val="left" w:pos="576"/>
        </w:tabs>
        <w:ind w:left="576" w:hanging="576"/>
      </w:pPr>
      <w:rPr>
        <w:strike w:val="0"/>
        <w:dstrike w:val="0"/>
        <w:color w:val="000000"/>
        <w:u w:val="none"/>
        <w:effect w:val="none"/>
      </w:rPr>
    </w:lvl>
    <w:lvl w:ilvl="2">
      <w:start w:val="1"/>
      <w:numFmt w:val="decimal"/>
      <w:lvlText w:val="%1.%2.%3"/>
      <w:lvlJc w:val="left"/>
      <w:pPr>
        <w:tabs>
          <w:tab w:val="left" w:pos="1146"/>
        </w:tabs>
        <w:ind w:left="1146" w:hanging="720"/>
      </w:pPr>
      <w:rPr>
        <w:strike w:val="0"/>
        <w:dstrike w:val="0"/>
        <w:u w:val="none"/>
        <w:effect w:val="none"/>
      </w:rPr>
    </w:lvl>
    <w:lvl w:ilvl="3">
      <w:start w:val="1"/>
      <w:numFmt w:val="decimal"/>
      <w:lvlText w:val="%1.%2.%3.%4"/>
      <w:lvlJc w:val="left"/>
      <w:pPr>
        <w:tabs>
          <w:tab w:val="left" w:pos="864"/>
        </w:tabs>
        <w:ind w:left="864" w:hanging="864"/>
      </w:pPr>
      <w:rPr>
        <w:strike w:val="0"/>
        <w:dstrike w:val="0"/>
        <w:u w:val="none"/>
        <w:effect w:val="none"/>
      </w:r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0" w15:restartNumberingAfterBreak="0">
    <w:nsid w:val="75AC09A4"/>
    <w:multiLevelType w:val="multilevel"/>
    <w:tmpl w:val="1262A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02946758">
    <w:abstractNumId w:val="19"/>
  </w:num>
  <w:num w:numId="2" w16cid:durableId="361980072">
    <w:abstractNumId w:val="16"/>
  </w:num>
  <w:num w:numId="3" w16cid:durableId="927813965">
    <w:abstractNumId w:val="18"/>
  </w:num>
  <w:num w:numId="4" w16cid:durableId="917521702">
    <w:abstractNumId w:val="27"/>
  </w:num>
  <w:num w:numId="5" w16cid:durableId="671375316">
    <w:abstractNumId w:val="25"/>
  </w:num>
  <w:num w:numId="6" w16cid:durableId="1427069136">
    <w:abstractNumId w:val="1"/>
  </w:num>
  <w:num w:numId="7" w16cid:durableId="1455634303">
    <w:abstractNumId w:val="10"/>
  </w:num>
  <w:num w:numId="8" w16cid:durableId="1356613247">
    <w:abstractNumId w:val="4"/>
  </w:num>
  <w:num w:numId="9" w16cid:durableId="1367170899">
    <w:abstractNumId w:val="13"/>
  </w:num>
  <w:num w:numId="10" w16cid:durableId="6889920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1993571">
    <w:abstractNumId w:val="16"/>
  </w:num>
  <w:num w:numId="12" w16cid:durableId="234096432">
    <w:abstractNumId w:val="16"/>
  </w:num>
  <w:num w:numId="13" w16cid:durableId="487597714">
    <w:abstractNumId w:val="18"/>
  </w:num>
  <w:num w:numId="14" w16cid:durableId="395093">
    <w:abstractNumId w:val="9"/>
    <w:lvlOverride w:ilvl="0">
      <w:startOverride w:val="1"/>
    </w:lvlOverride>
  </w:num>
  <w:num w:numId="15" w16cid:durableId="1977953323">
    <w:abstractNumId w:val="26"/>
  </w:num>
  <w:num w:numId="16" w16cid:durableId="460349737">
    <w:abstractNumId w:val="0"/>
  </w:num>
  <w:num w:numId="17" w16cid:durableId="491070359">
    <w:abstractNumId w:val="20"/>
  </w:num>
  <w:num w:numId="18" w16cid:durableId="1922835953">
    <w:abstractNumId w:val="30"/>
    <w:lvlOverride w:ilvl="0">
      <w:startOverride w:val="1"/>
    </w:lvlOverride>
  </w:num>
  <w:num w:numId="19" w16cid:durableId="2133858268">
    <w:abstractNumId w:val="8"/>
  </w:num>
  <w:num w:numId="20" w16cid:durableId="421075642">
    <w:abstractNumId w:val="2"/>
  </w:num>
  <w:num w:numId="21" w16cid:durableId="707215916">
    <w:abstractNumId w:val="21"/>
  </w:num>
  <w:num w:numId="22" w16cid:durableId="784034910">
    <w:abstractNumId w:val="3"/>
  </w:num>
  <w:num w:numId="23" w16cid:durableId="1383284118">
    <w:abstractNumId w:val="23"/>
  </w:num>
  <w:num w:numId="24" w16cid:durableId="1668750649">
    <w:abstractNumId w:val="12"/>
  </w:num>
  <w:num w:numId="25" w16cid:durableId="675351243">
    <w:abstractNumId w:val="15"/>
  </w:num>
  <w:num w:numId="26" w16cid:durableId="317073912">
    <w:abstractNumId w:val="14"/>
  </w:num>
  <w:num w:numId="27" w16cid:durableId="572392453">
    <w:abstractNumId w:val="28"/>
  </w:num>
  <w:num w:numId="28" w16cid:durableId="1239093469">
    <w:abstractNumId w:val="24"/>
  </w:num>
  <w:num w:numId="29" w16cid:durableId="1450858585">
    <w:abstractNumId w:val="22"/>
  </w:num>
  <w:num w:numId="30" w16cid:durableId="266473510">
    <w:abstractNumId w:val="7"/>
  </w:num>
  <w:num w:numId="31" w16cid:durableId="1087076236">
    <w:abstractNumId w:val="17"/>
  </w:num>
  <w:num w:numId="32" w16cid:durableId="347486496">
    <w:abstractNumId w:val="11"/>
  </w:num>
  <w:num w:numId="33" w16cid:durableId="232085076">
    <w:abstractNumId w:val="5"/>
  </w:num>
  <w:num w:numId="34" w16cid:durableId="18279261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1B8D"/>
    <w:rsid w:val="00001C9B"/>
    <w:rsid w:val="000023A9"/>
    <w:rsid w:val="000040DC"/>
    <w:rsid w:val="00004BE0"/>
    <w:rsid w:val="000078C7"/>
    <w:rsid w:val="00010810"/>
    <w:rsid w:val="00012922"/>
    <w:rsid w:val="00013B04"/>
    <w:rsid w:val="00014FA9"/>
    <w:rsid w:val="000151EF"/>
    <w:rsid w:val="0001793A"/>
    <w:rsid w:val="0002012B"/>
    <w:rsid w:val="0002112A"/>
    <w:rsid w:val="00022915"/>
    <w:rsid w:val="000239F5"/>
    <w:rsid w:val="000335CE"/>
    <w:rsid w:val="00034ACF"/>
    <w:rsid w:val="00035F26"/>
    <w:rsid w:val="0004385D"/>
    <w:rsid w:val="000448BB"/>
    <w:rsid w:val="00057C93"/>
    <w:rsid w:val="000611C1"/>
    <w:rsid w:val="000659E4"/>
    <w:rsid w:val="000743BE"/>
    <w:rsid w:val="00075635"/>
    <w:rsid w:val="000803E2"/>
    <w:rsid w:val="00080B6D"/>
    <w:rsid w:val="00081C9F"/>
    <w:rsid w:val="000845BA"/>
    <w:rsid w:val="0008612A"/>
    <w:rsid w:val="00090E18"/>
    <w:rsid w:val="00091D89"/>
    <w:rsid w:val="00095E2F"/>
    <w:rsid w:val="000A0ABB"/>
    <w:rsid w:val="000A10BC"/>
    <w:rsid w:val="000A13F2"/>
    <w:rsid w:val="000A2E27"/>
    <w:rsid w:val="000B0056"/>
    <w:rsid w:val="000B4540"/>
    <w:rsid w:val="000C2684"/>
    <w:rsid w:val="000C3C7B"/>
    <w:rsid w:val="000C3D65"/>
    <w:rsid w:val="000C51B3"/>
    <w:rsid w:val="000D0F93"/>
    <w:rsid w:val="000D1584"/>
    <w:rsid w:val="000D327D"/>
    <w:rsid w:val="000D360E"/>
    <w:rsid w:val="000D5B81"/>
    <w:rsid w:val="000E099D"/>
    <w:rsid w:val="000E4551"/>
    <w:rsid w:val="000F7546"/>
    <w:rsid w:val="00102501"/>
    <w:rsid w:val="001056EE"/>
    <w:rsid w:val="00106416"/>
    <w:rsid w:val="00110481"/>
    <w:rsid w:val="00110EF3"/>
    <w:rsid w:val="001127C9"/>
    <w:rsid w:val="00113FA5"/>
    <w:rsid w:val="00115B88"/>
    <w:rsid w:val="00122FC8"/>
    <w:rsid w:val="001258A7"/>
    <w:rsid w:val="00126A88"/>
    <w:rsid w:val="00127585"/>
    <w:rsid w:val="00127911"/>
    <w:rsid w:val="00132CA4"/>
    <w:rsid w:val="00132DBB"/>
    <w:rsid w:val="00132F6A"/>
    <w:rsid w:val="00133913"/>
    <w:rsid w:val="00136A92"/>
    <w:rsid w:val="00140221"/>
    <w:rsid w:val="00141043"/>
    <w:rsid w:val="0014236A"/>
    <w:rsid w:val="0014766A"/>
    <w:rsid w:val="00151309"/>
    <w:rsid w:val="001515AC"/>
    <w:rsid w:val="00152049"/>
    <w:rsid w:val="001525BA"/>
    <w:rsid w:val="00153413"/>
    <w:rsid w:val="001548AB"/>
    <w:rsid w:val="001630B7"/>
    <w:rsid w:val="001642FC"/>
    <w:rsid w:val="0016496B"/>
    <w:rsid w:val="00164ED3"/>
    <w:rsid w:val="00165A5E"/>
    <w:rsid w:val="0016665A"/>
    <w:rsid w:val="00173F9A"/>
    <w:rsid w:val="001743E2"/>
    <w:rsid w:val="001745F8"/>
    <w:rsid w:val="00174C0C"/>
    <w:rsid w:val="0017745C"/>
    <w:rsid w:val="001838CF"/>
    <w:rsid w:val="00184891"/>
    <w:rsid w:val="001868EE"/>
    <w:rsid w:val="00190121"/>
    <w:rsid w:val="00192309"/>
    <w:rsid w:val="001A0454"/>
    <w:rsid w:val="001A2296"/>
    <w:rsid w:val="001A3BA4"/>
    <w:rsid w:val="001A6D1F"/>
    <w:rsid w:val="001B56A6"/>
    <w:rsid w:val="001B6BA2"/>
    <w:rsid w:val="001C023A"/>
    <w:rsid w:val="001C0FB1"/>
    <w:rsid w:val="001C1DD0"/>
    <w:rsid w:val="001C4F1F"/>
    <w:rsid w:val="001C6030"/>
    <w:rsid w:val="001D28FD"/>
    <w:rsid w:val="001D5772"/>
    <w:rsid w:val="001E30F6"/>
    <w:rsid w:val="001E3BFA"/>
    <w:rsid w:val="001F092C"/>
    <w:rsid w:val="001F32C5"/>
    <w:rsid w:val="001F4F91"/>
    <w:rsid w:val="00211395"/>
    <w:rsid w:val="002113AC"/>
    <w:rsid w:val="00211598"/>
    <w:rsid w:val="002131C1"/>
    <w:rsid w:val="00213A41"/>
    <w:rsid w:val="002146F6"/>
    <w:rsid w:val="00217EE5"/>
    <w:rsid w:val="00220A2C"/>
    <w:rsid w:val="00221D89"/>
    <w:rsid w:val="00222B50"/>
    <w:rsid w:val="00223319"/>
    <w:rsid w:val="00223FC3"/>
    <w:rsid w:val="002311D3"/>
    <w:rsid w:val="002323A9"/>
    <w:rsid w:val="002331AB"/>
    <w:rsid w:val="00235F5C"/>
    <w:rsid w:val="002439DE"/>
    <w:rsid w:val="002542A4"/>
    <w:rsid w:val="00256AA3"/>
    <w:rsid w:val="0025733D"/>
    <w:rsid w:val="00257FA3"/>
    <w:rsid w:val="0027167B"/>
    <w:rsid w:val="00271CC9"/>
    <w:rsid w:val="002751B2"/>
    <w:rsid w:val="00277088"/>
    <w:rsid w:val="00277B56"/>
    <w:rsid w:val="002810E1"/>
    <w:rsid w:val="00283A16"/>
    <w:rsid w:val="00284E1F"/>
    <w:rsid w:val="00285DD9"/>
    <w:rsid w:val="00292123"/>
    <w:rsid w:val="00296534"/>
    <w:rsid w:val="002972F5"/>
    <w:rsid w:val="002A19F5"/>
    <w:rsid w:val="002A3245"/>
    <w:rsid w:val="002A45AB"/>
    <w:rsid w:val="002A5891"/>
    <w:rsid w:val="002B0304"/>
    <w:rsid w:val="002B18C3"/>
    <w:rsid w:val="002B4922"/>
    <w:rsid w:val="002B628A"/>
    <w:rsid w:val="002C22C3"/>
    <w:rsid w:val="002C2D19"/>
    <w:rsid w:val="002C316B"/>
    <w:rsid w:val="002C692C"/>
    <w:rsid w:val="002D10FA"/>
    <w:rsid w:val="002D3076"/>
    <w:rsid w:val="002D323D"/>
    <w:rsid w:val="002D4C55"/>
    <w:rsid w:val="002D51DE"/>
    <w:rsid w:val="002E1B16"/>
    <w:rsid w:val="002E232F"/>
    <w:rsid w:val="002E6DED"/>
    <w:rsid w:val="00300956"/>
    <w:rsid w:val="003018E1"/>
    <w:rsid w:val="003062BC"/>
    <w:rsid w:val="003070C8"/>
    <w:rsid w:val="00310A8B"/>
    <w:rsid w:val="003119B6"/>
    <w:rsid w:val="00314820"/>
    <w:rsid w:val="00315131"/>
    <w:rsid w:val="0031612C"/>
    <w:rsid w:val="00317187"/>
    <w:rsid w:val="003205C1"/>
    <w:rsid w:val="003210F6"/>
    <w:rsid w:val="00321A2F"/>
    <w:rsid w:val="0032244E"/>
    <w:rsid w:val="00323C7E"/>
    <w:rsid w:val="0032499A"/>
    <w:rsid w:val="00324B7B"/>
    <w:rsid w:val="003304D9"/>
    <w:rsid w:val="00330BFB"/>
    <w:rsid w:val="003341F7"/>
    <w:rsid w:val="00334A8D"/>
    <w:rsid w:val="0033545E"/>
    <w:rsid w:val="00341331"/>
    <w:rsid w:val="00343F34"/>
    <w:rsid w:val="00346CA8"/>
    <w:rsid w:val="00347287"/>
    <w:rsid w:val="00347FEC"/>
    <w:rsid w:val="00351C08"/>
    <w:rsid w:val="00356F45"/>
    <w:rsid w:val="00366B74"/>
    <w:rsid w:val="0037129E"/>
    <w:rsid w:val="00372FC1"/>
    <w:rsid w:val="00373CD9"/>
    <w:rsid w:val="0038262E"/>
    <w:rsid w:val="00382BED"/>
    <w:rsid w:val="00386C61"/>
    <w:rsid w:val="00387ACB"/>
    <w:rsid w:val="003951A0"/>
    <w:rsid w:val="00396088"/>
    <w:rsid w:val="003A5192"/>
    <w:rsid w:val="003A5E92"/>
    <w:rsid w:val="003A6555"/>
    <w:rsid w:val="003A710A"/>
    <w:rsid w:val="003A7AE3"/>
    <w:rsid w:val="003B336B"/>
    <w:rsid w:val="003B4F63"/>
    <w:rsid w:val="003B5233"/>
    <w:rsid w:val="003B5905"/>
    <w:rsid w:val="003B659E"/>
    <w:rsid w:val="003C15AE"/>
    <w:rsid w:val="003C1945"/>
    <w:rsid w:val="003C275E"/>
    <w:rsid w:val="003C30FD"/>
    <w:rsid w:val="003C4FDE"/>
    <w:rsid w:val="003C630D"/>
    <w:rsid w:val="003C6FC1"/>
    <w:rsid w:val="003D1C0D"/>
    <w:rsid w:val="003D5D46"/>
    <w:rsid w:val="003D7DF9"/>
    <w:rsid w:val="003E4BC3"/>
    <w:rsid w:val="003E58DF"/>
    <w:rsid w:val="003E5CAC"/>
    <w:rsid w:val="003E5F7A"/>
    <w:rsid w:val="003E6804"/>
    <w:rsid w:val="003F5264"/>
    <w:rsid w:val="003F7916"/>
    <w:rsid w:val="00403018"/>
    <w:rsid w:val="00404C4C"/>
    <w:rsid w:val="00406FCD"/>
    <w:rsid w:val="00410E5E"/>
    <w:rsid w:val="0041423F"/>
    <w:rsid w:val="00414F81"/>
    <w:rsid w:val="00416802"/>
    <w:rsid w:val="00417270"/>
    <w:rsid w:val="00417D99"/>
    <w:rsid w:val="0042410D"/>
    <w:rsid w:val="00431CB0"/>
    <w:rsid w:val="0043568C"/>
    <w:rsid w:val="00436A0F"/>
    <w:rsid w:val="00437150"/>
    <w:rsid w:val="0043750A"/>
    <w:rsid w:val="00437C3D"/>
    <w:rsid w:val="00440477"/>
    <w:rsid w:val="004407DB"/>
    <w:rsid w:val="00442A40"/>
    <w:rsid w:val="00444789"/>
    <w:rsid w:val="00452687"/>
    <w:rsid w:val="00457AD9"/>
    <w:rsid w:val="00461C57"/>
    <w:rsid w:val="00462588"/>
    <w:rsid w:val="00462F52"/>
    <w:rsid w:val="004643EA"/>
    <w:rsid w:val="00472BF3"/>
    <w:rsid w:val="004732E9"/>
    <w:rsid w:val="004752F8"/>
    <w:rsid w:val="004769C4"/>
    <w:rsid w:val="00480422"/>
    <w:rsid w:val="00481804"/>
    <w:rsid w:val="0048361F"/>
    <w:rsid w:val="004854BB"/>
    <w:rsid w:val="00486C83"/>
    <w:rsid w:val="00486F59"/>
    <w:rsid w:val="00487AF7"/>
    <w:rsid w:val="00495899"/>
    <w:rsid w:val="00496606"/>
    <w:rsid w:val="004A1285"/>
    <w:rsid w:val="004A36CC"/>
    <w:rsid w:val="004A677B"/>
    <w:rsid w:val="004C322B"/>
    <w:rsid w:val="004C41C8"/>
    <w:rsid w:val="004C5E1B"/>
    <w:rsid w:val="004D0152"/>
    <w:rsid w:val="004D0FE2"/>
    <w:rsid w:val="004D11E4"/>
    <w:rsid w:val="004D2530"/>
    <w:rsid w:val="004D4997"/>
    <w:rsid w:val="004D5488"/>
    <w:rsid w:val="004E14EF"/>
    <w:rsid w:val="004E2762"/>
    <w:rsid w:val="004E2C4F"/>
    <w:rsid w:val="004E534C"/>
    <w:rsid w:val="004E5E66"/>
    <w:rsid w:val="004E619A"/>
    <w:rsid w:val="004E6741"/>
    <w:rsid w:val="004E7ADB"/>
    <w:rsid w:val="004F04B7"/>
    <w:rsid w:val="004F0CB0"/>
    <w:rsid w:val="004F2BA9"/>
    <w:rsid w:val="004F411A"/>
    <w:rsid w:val="004F547A"/>
    <w:rsid w:val="004F6C43"/>
    <w:rsid w:val="005031A4"/>
    <w:rsid w:val="00503B4D"/>
    <w:rsid w:val="00504988"/>
    <w:rsid w:val="00504EE9"/>
    <w:rsid w:val="0050538E"/>
    <w:rsid w:val="00506F5C"/>
    <w:rsid w:val="0051027F"/>
    <w:rsid w:val="005139E0"/>
    <w:rsid w:val="0051606C"/>
    <w:rsid w:val="00516D7E"/>
    <w:rsid w:val="00521576"/>
    <w:rsid w:val="00521BAF"/>
    <w:rsid w:val="005250E6"/>
    <w:rsid w:val="005304FF"/>
    <w:rsid w:val="00534588"/>
    <w:rsid w:val="00534FA7"/>
    <w:rsid w:val="0054015A"/>
    <w:rsid w:val="00541F63"/>
    <w:rsid w:val="00542D23"/>
    <w:rsid w:val="0054442C"/>
    <w:rsid w:val="00544A4D"/>
    <w:rsid w:val="00545718"/>
    <w:rsid w:val="00546C4D"/>
    <w:rsid w:val="00550285"/>
    <w:rsid w:val="00552CF0"/>
    <w:rsid w:val="00553796"/>
    <w:rsid w:val="005623C3"/>
    <w:rsid w:val="00562492"/>
    <w:rsid w:val="0056478B"/>
    <w:rsid w:val="00566419"/>
    <w:rsid w:val="0057150D"/>
    <w:rsid w:val="005729CA"/>
    <w:rsid w:val="00572A20"/>
    <w:rsid w:val="00575BDB"/>
    <w:rsid w:val="00577FFD"/>
    <w:rsid w:val="0058077A"/>
    <w:rsid w:val="00581422"/>
    <w:rsid w:val="0058177F"/>
    <w:rsid w:val="005836F8"/>
    <w:rsid w:val="00586C30"/>
    <w:rsid w:val="00590A67"/>
    <w:rsid w:val="00590D12"/>
    <w:rsid w:val="005918FA"/>
    <w:rsid w:val="00592A86"/>
    <w:rsid w:val="005A40FE"/>
    <w:rsid w:val="005B42F0"/>
    <w:rsid w:val="005B4801"/>
    <w:rsid w:val="005C01CF"/>
    <w:rsid w:val="005C23A4"/>
    <w:rsid w:val="005D017B"/>
    <w:rsid w:val="005D0619"/>
    <w:rsid w:val="005D07F8"/>
    <w:rsid w:val="005D0955"/>
    <w:rsid w:val="005D179C"/>
    <w:rsid w:val="005D1CDF"/>
    <w:rsid w:val="005D2BB7"/>
    <w:rsid w:val="005D330E"/>
    <w:rsid w:val="005D4A29"/>
    <w:rsid w:val="005D76FA"/>
    <w:rsid w:val="005D7C49"/>
    <w:rsid w:val="005E2095"/>
    <w:rsid w:val="005E61A8"/>
    <w:rsid w:val="005F1723"/>
    <w:rsid w:val="005F3640"/>
    <w:rsid w:val="005F51A6"/>
    <w:rsid w:val="005F6419"/>
    <w:rsid w:val="005F7B93"/>
    <w:rsid w:val="0060543D"/>
    <w:rsid w:val="006059A5"/>
    <w:rsid w:val="006104DD"/>
    <w:rsid w:val="00612023"/>
    <w:rsid w:val="006130B5"/>
    <w:rsid w:val="00616EFF"/>
    <w:rsid w:val="00617400"/>
    <w:rsid w:val="00620972"/>
    <w:rsid w:val="00622EB7"/>
    <w:rsid w:val="00624C0D"/>
    <w:rsid w:val="00632D29"/>
    <w:rsid w:val="00632D5E"/>
    <w:rsid w:val="006359D1"/>
    <w:rsid w:val="00641C4D"/>
    <w:rsid w:val="006430F3"/>
    <w:rsid w:val="00644F03"/>
    <w:rsid w:val="006457D5"/>
    <w:rsid w:val="00654A4D"/>
    <w:rsid w:val="0065531A"/>
    <w:rsid w:val="0066265F"/>
    <w:rsid w:val="00664950"/>
    <w:rsid w:val="0066602C"/>
    <w:rsid w:val="00667C4E"/>
    <w:rsid w:val="00670EA1"/>
    <w:rsid w:val="006722A6"/>
    <w:rsid w:val="0067370F"/>
    <w:rsid w:val="00673F6A"/>
    <w:rsid w:val="006742F6"/>
    <w:rsid w:val="0068081B"/>
    <w:rsid w:val="00683220"/>
    <w:rsid w:val="006845C4"/>
    <w:rsid w:val="006851D5"/>
    <w:rsid w:val="0068796B"/>
    <w:rsid w:val="00687FA0"/>
    <w:rsid w:val="00690812"/>
    <w:rsid w:val="006916DA"/>
    <w:rsid w:val="00692E62"/>
    <w:rsid w:val="00693F35"/>
    <w:rsid w:val="006942B7"/>
    <w:rsid w:val="00695DE2"/>
    <w:rsid w:val="006A126E"/>
    <w:rsid w:val="006A3A80"/>
    <w:rsid w:val="006A3C11"/>
    <w:rsid w:val="006B42FE"/>
    <w:rsid w:val="006B7010"/>
    <w:rsid w:val="006C194F"/>
    <w:rsid w:val="006C27A7"/>
    <w:rsid w:val="006C3095"/>
    <w:rsid w:val="006C4616"/>
    <w:rsid w:val="006C673F"/>
    <w:rsid w:val="006C6E30"/>
    <w:rsid w:val="006D07D2"/>
    <w:rsid w:val="006D1C99"/>
    <w:rsid w:val="006D5353"/>
    <w:rsid w:val="006D59A5"/>
    <w:rsid w:val="006D627C"/>
    <w:rsid w:val="006E1151"/>
    <w:rsid w:val="006E439B"/>
    <w:rsid w:val="006E6311"/>
    <w:rsid w:val="006F0E01"/>
    <w:rsid w:val="00706500"/>
    <w:rsid w:val="007066A1"/>
    <w:rsid w:val="0070753E"/>
    <w:rsid w:val="007145FF"/>
    <w:rsid w:val="00715B2A"/>
    <w:rsid w:val="00716EFB"/>
    <w:rsid w:val="00717F8D"/>
    <w:rsid w:val="00721B00"/>
    <w:rsid w:val="007255D7"/>
    <w:rsid w:val="00726ACD"/>
    <w:rsid w:val="00730623"/>
    <w:rsid w:val="007316CC"/>
    <w:rsid w:val="0073361B"/>
    <w:rsid w:val="00735651"/>
    <w:rsid w:val="00737F5F"/>
    <w:rsid w:val="007411A4"/>
    <w:rsid w:val="007450F1"/>
    <w:rsid w:val="00747A3E"/>
    <w:rsid w:val="00750D17"/>
    <w:rsid w:val="00751515"/>
    <w:rsid w:val="007626B7"/>
    <w:rsid w:val="00764C3D"/>
    <w:rsid w:val="0076656E"/>
    <w:rsid w:val="0077171D"/>
    <w:rsid w:val="00773CAE"/>
    <w:rsid w:val="007742DA"/>
    <w:rsid w:val="00774841"/>
    <w:rsid w:val="00776F3D"/>
    <w:rsid w:val="00777FA2"/>
    <w:rsid w:val="0078212B"/>
    <w:rsid w:val="00784DF6"/>
    <w:rsid w:val="00785232"/>
    <w:rsid w:val="00785582"/>
    <w:rsid w:val="007875C1"/>
    <w:rsid w:val="00795DE3"/>
    <w:rsid w:val="0079730E"/>
    <w:rsid w:val="007A509A"/>
    <w:rsid w:val="007B16E5"/>
    <w:rsid w:val="007B1832"/>
    <w:rsid w:val="007B186C"/>
    <w:rsid w:val="007B18F0"/>
    <w:rsid w:val="007B3372"/>
    <w:rsid w:val="007C1696"/>
    <w:rsid w:val="007C1D91"/>
    <w:rsid w:val="007C2EEF"/>
    <w:rsid w:val="007C34DA"/>
    <w:rsid w:val="007C36D3"/>
    <w:rsid w:val="007C3957"/>
    <w:rsid w:val="007C3D17"/>
    <w:rsid w:val="007C3ED0"/>
    <w:rsid w:val="007C5971"/>
    <w:rsid w:val="007C7AE1"/>
    <w:rsid w:val="007D1AF3"/>
    <w:rsid w:val="007E1118"/>
    <w:rsid w:val="007E184B"/>
    <w:rsid w:val="007E7E36"/>
    <w:rsid w:val="007F16FD"/>
    <w:rsid w:val="007F2888"/>
    <w:rsid w:val="007F54B9"/>
    <w:rsid w:val="007F6D8C"/>
    <w:rsid w:val="0080027B"/>
    <w:rsid w:val="008047B3"/>
    <w:rsid w:val="00806A76"/>
    <w:rsid w:val="00811B70"/>
    <w:rsid w:val="00811C9D"/>
    <w:rsid w:val="00814B96"/>
    <w:rsid w:val="00814E5B"/>
    <w:rsid w:val="00816750"/>
    <w:rsid w:val="00816C80"/>
    <w:rsid w:val="00821757"/>
    <w:rsid w:val="008222FB"/>
    <w:rsid w:val="00830041"/>
    <w:rsid w:val="00833995"/>
    <w:rsid w:val="00841639"/>
    <w:rsid w:val="00841BCD"/>
    <w:rsid w:val="0085099B"/>
    <w:rsid w:val="00851A8E"/>
    <w:rsid w:val="00851B96"/>
    <w:rsid w:val="00851F13"/>
    <w:rsid w:val="0085365B"/>
    <w:rsid w:val="00856A96"/>
    <w:rsid w:val="00856C13"/>
    <w:rsid w:val="00856EC9"/>
    <w:rsid w:val="0086340C"/>
    <w:rsid w:val="00866F4E"/>
    <w:rsid w:val="0086755A"/>
    <w:rsid w:val="00871D57"/>
    <w:rsid w:val="00872831"/>
    <w:rsid w:val="008729E2"/>
    <w:rsid w:val="008740AC"/>
    <w:rsid w:val="00874E67"/>
    <w:rsid w:val="00876238"/>
    <w:rsid w:val="008826C1"/>
    <w:rsid w:val="008826E7"/>
    <w:rsid w:val="00883DFD"/>
    <w:rsid w:val="00884C80"/>
    <w:rsid w:val="00884E93"/>
    <w:rsid w:val="00885CCA"/>
    <w:rsid w:val="00887003"/>
    <w:rsid w:val="00887D6B"/>
    <w:rsid w:val="00887E39"/>
    <w:rsid w:val="00891F4C"/>
    <w:rsid w:val="0089335A"/>
    <w:rsid w:val="0089380E"/>
    <w:rsid w:val="008953D1"/>
    <w:rsid w:val="008970BF"/>
    <w:rsid w:val="008A1BF7"/>
    <w:rsid w:val="008A42B7"/>
    <w:rsid w:val="008A5B0E"/>
    <w:rsid w:val="008B0961"/>
    <w:rsid w:val="008C51DD"/>
    <w:rsid w:val="008D4803"/>
    <w:rsid w:val="008D58F4"/>
    <w:rsid w:val="008D6CFB"/>
    <w:rsid w:val="008E1AB4"/>
    <w:rsid w:val="008E3A00"/>
    <w:rsid w:val="0090091A"/>
    <w:rsid w:val="009035B1"/>
    <w:rsid w:val="009042BD"/>
    <w:rsid w:val="0091469E"/>
    <w:rsid w:val="00921A74"/>
    <w:rsid w:val="00924569"/>
    <w:rsid w:val="0092641A"/>
    <w:rsid w:val="00930D6F"/>
    <w:rsid w:val="00932C80"/>
    <w:rsid w:val="009344A4"/>
    <w:rsid w:val="0093564D"/>
    <w:rsid w:val="00936159"/>
    <w:rsid w:val="00940B6E"/>
    <w:rsid w:val="009416BB"/>
    <w:rsid w:val="00941EA8"/>
    <w:rsid w:val="00943C49"/>
    <w:rsid w:val="00946861"/>
    <w:rsid w:val="00952407"/>
    <w:rsid w:val="009528C3"/>
    <w:rsid w:val="00953DE8"/>
    <w:rsid w:val="009574F0"/>
    <w:rsid w:val="00960996"/>
    <w:rsid w:val="00966DEA"/>
    <w:rsid w:val="00970324"/>
    <w:rsid w:val="00972CE4"/>
    <w:rsid w:val="00972E77"/>
    <w:rsid w:val="00972E7C"/>
    <w:rsid w:val="00974243"/>
    <w:rsid w:val="00977E1D"/>
    <w:rsid w:val="00981502"/>
    <w:rsid w:val="00981713"/>
    <w:rsid w:val="00987477"/>
    <w:rsid w:val="00990BC0"/>
    <w:rsid w:val="00991A89"/>
    <w:rsid w:val="00992A76"/>
    <w:rsid w:val="00992F00"/>
    <w:rsid w:val="009943FF"/>
    <w:rsid w:val="009972EF"/>
    <w:rsid w:val="009A0C17"/>
    <w:rsid w:val="009A1AF0"/>
    <w:rsid w:val="009A2155"/>
    <w:rsid w:val="009A2CCF"/>
    <w:rsid w:val="009A5496"/>
    <w:rsid w:val="009B0573"/>
    <w:rsid w:val="009B4377"/>
    <w:rsid w:val="009B61A1"/>
    <w:rsid w:val="009B7B4B"/>
    <w:rsid w:val="009B7C21"/>
    <w:rsid w:val="009C577A"/>
    <w:rsid w:val="009C6239"/>
    <w:rsid w:val="009D3D7F"/>
    <w:rsid w:val="009D47BE"/>
    <w:rsid w:val="009D4AED"/>
    <w:rsid w:val="009D5C2C"/>
    <w:rsid w:val="009D6A01"/>
    <w:rsid w:val="009E04C0"/>
    <w:rsid w:val="009E2E0C"/>
    <w:rsid w:val="009E3CC3"/>
    <w:rsid w:val="009E4488"/>
    <w:rsid w:val="009E48A8"/>
    <w:rsid w:val="009F0039"/>
    <w:rsid w:val="009F003C"/>
    <w:rsid w:val="009F20B3"/>
    <w:rsid w:val="009F5E97"/>
    <w:rsid w:val="009F7315"/>
    <w:rsid w:val="00A01D08"/>
    <w:rsid w:val="00A03911"/>
    <w:rsid w:val="00A04992"/>
    <w:rsid w:val="00A054B5"/>
    <w:rsid w:val="00A10AF7"/>
    <w:rsid w:val="00A10D95"/>
    <w:rsid w:val="00A147AA"/>
    <w:rsid w:val="00A15290"/>
    <w:rsid w:val="00A21D71"/>
    <w:rsid w:val="00A2261D"/>
    <w:rsid w:val="00A22B78"/>
    <w:rsid w:val="00A25AE5"/>
    <w:rsid w:val="00A272E6"/>
    <w:rsid w:val="00A27DAF"/>
    <w:rsid w:val="00A32D4C"/>
    <w:rsid w:val="00A33481"/>
    <w:rsid w:val="00A344EA"/>
    <w:rsid w:val="00A36053"/>
    <w:rsid w:val="00A37002"/>
    <w:rsid w:val="00A40177"/>
    <w:rsid w:val="00A423B8"/>
    <w:rsid w:val="00A4355E"/>
    <w:rsid w:val="00A43F29"/>
    <w:rsid w:val="00A45029"/>
    <w:rsid w:val="00A52559"/>
    <w:rsid w:val="00A5519C"/>
    <w:rsid w:val="00A60577"/>
    <w:rsid w:val="00A61FB2"/>
    <w:rsid w:val="00A6516E"/>
    <w:rsid w:val="00A712F0"/>
    <w:rsid w:val="00A71BDA"/>
    <w:rsid w:val="00A722EE"/>
    <w:rsid w:val="00A73FC7"/>
    <w:rsid w:val="00A748D5"/>
    <w:rsid w:val="00A74CC2"/>
    <w:rsid w:val="00A820EE"/>
    <w:rsid w:val="00A82AFD"/>
    <w:rsid w:val="00A834EC"/>
    <w:rsid w:val="00A92BCD"/>
    <w:rsid w:val="00A9418A"/>
    <w:rsid w:val="00A96BBA"/>
    <w:rsid w:val="00A97AE4"/>
    <w:rsid w:val="00AA1B0E"/>
    <w:rsid w:val="00AA31FF"/>
    <w:rsid w:val="00AA47B6"/>
    <w:rsid w:val="00AA61C2"/>
    <w:rsid w:val="00AA6A59"/>
    <w:rsid w:val="00AA76BA"/>
    <w:rsid w:val="00AB3BDB"/>
    <w:rsid w:val="00AB6596"/>
    <w:rsid w:val="00AC163B"/>
    <w:rsid w:val="00AC293D"/>
    <w:rsid w:val="00AC2E25"/>
    <w:rsid w:val="00AC3E2D"/>
    <w:rsid w:val="00AC4540"/>
    <w:rsid w:val="00AC5CA7"/>
    <w:rsid w:val="00AC6058"/>
    <w:rsid w:val="00AC64F2"/>
    <w:rsid w:val="00AC766A"/>
    <w:rsid w:val="00AD4E4A"/>
    <w:rsid w:val="00AD4EEF"/>
    <w:rsid w:val="00AE049C"/>
    <w:rsid w:val="00AE0F7E"/>
    <w:rsid w:val="00AE1197"/>
    <w:rsid w:val="00AE1E00"/>
    <w:rsid w:val="00AE2BA5"/>
    <w:rsid w:val="00AE56B1"/>
    <w:rsid w:val="00AE6D09"/>
    <w:rsid w:val="00AF2BCA"/>
    <w:rsid w:val="00AF7031"/>
    <w:rsid w:val="00AF755E"/>
    <w:rsid w:val="00AF7A7C"/>
    <w:rsid w:val="00B01AC0"/>
    <w:rsid w:val="00B0549B"/>
    <w:rsid w:val="00B145CA"/>
    <w:rsid w:val="00B17FA3"/>
    <w:rsid w:val="00B27C2C"/>
    <w:rsid w:val="00B318A6"/>
    <w:rsid w:val="00B33243"/>
    <w:rsid w:val="00B365D1"/>
    <w:rsid w:val="00B40365"/>
    <w:rsid w:val="00B408B6"/>
    <w:rsid w:val="00B40C06"/>
    <w:rsid w:val="00B424CA"/>
    <w:rsid w:val="00B44325"/>
    <w:rsid w:val="00B44371"/>
    <w:rsid w:val="00B4718C"/>
    <w:rsid w:val="00B50C51"/>
    <w:rsid w:val="00B52CB8"/>
    <w:rsid w:val="00B52E8A"/>
    <w:rsid w:val="00B5308D"/>
    <w:rsid w:val="00B53DB6"/>
    <w:rsid w:val="00B542DA"/>
    <w:rsid w:val="00B56AE7"/>
    <w:rsid w:val="00B62093"/>
    <w:rsid w:val="00B73862"/>
    <w:rsid w:val="00B73F43"/>
    <w:rsid w:val="00B75E02"/>
    <w:rsid w:val="00B79BA2"/>
    <w:rsid w:val="00B817A8"/>
    <w:rsid w:val="00B81F78"/>
    <w:rsid w:val="00B820E8"/>
    <w:rsid w:val="00B84935"/>
    <w:rsid w:val="00B90549"/>
    <w:rsid w:val="00B90684"/>
    <w:rsid w:val="00B95A0B"/>
    <w:rsid w:val="00B97D39"/>
    <w:rsid w:val="00BA28AE"/>
    <w:rsid w:val="00BA61AC"/>
    <w:rsid w:val="00BA6B66"/>
    <w:rsid w:val="00BA6E48"/>
    <w:rsid w:val="00BB1881"/>
    <w:rsid w:val="00BB1D48"/>
    <w:rsid w:val="00BB1F24"/>
    <w:rsid w:val="00BC415E"/>
    <w:rsid w:val="00BC466F"/>
    <w:rsid w:val="00BC484A"/>
    <w:rsid w:val="00BC5EDD"/>
    <w:rsid w:val="00BD07AA"/>
    <w:rsid w:val="00BD4F51"/>
    <w:rsid w:val="00BD599A"/>
    <w:rsid w:val="00BD656C"/>
    <w:rsid w:val="00BD6D06"/>
    <w:rsid w:val="00BE0AF6"/>
    <w:rsid w:val="00BE1F03"/>
    <w:rsid w:val="00BE2316"/>
    <w:rsid w:val="00BE2707"/>
    <w:rsid w:val="00BE4BD6"/>
    <w:rsid w:val="00BE58A7"/>
    <w:rsid w:val="00BE7300"/>
    <w:rsid w:val="00BF0B79"/>
    <w:rsid w:val="00BF0ED2"/>
    <w:rsid w:val="00BF2218"/>
    <w:rsid w:val="00BF431A"/>
    <w:rsid w:val="00C00302"/>
    <w:rsid w:val="00C0426B"/>
    <w:rsid w:val="00C045DF"/>
    <w:rsid w:val="00C1137E"/>
    <w:rsid w:val="00C120CF"/>
    <w:rsid w:val="00C12123"/>
    <w:rsid w:val="00C122EF"/>
    <w:rsid w:val="00C146A4"/>
    <w:rsid w:val="00C14910"/>
    <w:rsid w:val="00C21B88"/>
    <w:rsid w:val="00C21F87"/>
    <w:rsid w:val="00C26D43"/>
    <w:rsid w:val="00C41997"/>
    <w:rsid w:val="00C43319"/>
    <w:rsid w:val="00C46548"/>
    <w:rsid w:val="00C46662"/>
    <w:rsid w:val="00C46EB6"/>
    <w:rsid w:val="00C47080"/>
    <w:rsid w:val="00C51BE5"/>
    <w:rsid w:val="00C52CDD"/>
    <w:rsid w:val="00C5417D"/>
    <w:rsid w:val="00C55B44"/>
    <w:rsid w:val="00C56E68"/>
    <w:rsid w:val="00C574D5"/>
    <w:rsid w:val="00C57C5C"/>
    <w:rsid w:val="00C61A9E"/>
    <w:rsid w:val="00C64002"/>
    <w:rsid w:val="00C673AE"/>
    <w:rsid w:val="00C67BC3"/>
    <w:rsid w:val="00C70191"/>
    <w:rsid w:val="00C71378"/>
    <w:rsid w:val="00C73F32"/>
    <w:rsid w:val="00C74207"/>
    <w:rsid w:val="00C74B68"/>
    <w:rsid w:val="00C7546F"/>
    <w:rsid w:val="00C80968"/>
    <w:rsid w:val="00C81330"/>
    <w:rsid w:val="00C8491D"/>
    <w:rsid w:val="00C84A42"/>
    <w:rsid w:val="00C85F0C"/>
    <w:rsid w:val="00C86580"/>
    <w:rsid w:val="00C87462"/>
    <w:rsid w:val="00C92A9B"/>
    <w:rsid w:val="00CA180C"/>
    <w:rsid w:val="00CA240B"/>
    <w:rsid w:val="00CB205B"/>
    <w:rsid w:val="00CB22B2"/>
    <w:rsid w:val="00CB487D"/>
    <w:rsid w:val="00CC12EA"/>
    <w:rsid w:val="00CC3EE2"/>
    <w:rsid w:val="00CC626F"/>
    <w:rsid w:val="00CC64D8"/>
    <w:rsid w:val="00CD06E9"/>
    <w:rsid w:val="00CD7492"/>
    <w:rsid w:val="00CE1BEB"/>
    <w:rsid w:val="00CE29D3"/>
    <w:rsid w:val="00CE3A6B"/>
    <w:rsid w:val="00CE4E6E"/>
    <w:rsid w:val="00CE5959"/>
    <w:rsid w:val="00CE5F34"/>
    <w:rsid w:val="00CE6F3E"/>
    <w:rsid w:val="00CF02F5"/>
    <w:rsid w:val="00CF1009"/>
    <w:rsid w:val="00CF1165"/>
    <w:rsid w:val="00CF11E7"/>
    <w:rsid w:val="00CF1460"/>
    <w:rsid w:val="00CF6329"/>
    <w:rsid w:val="00CF651E"/>
    <w:rsid w:val="00CF7388"/>
    <w:rsid w:val="00D00211"/>
    <w:rsid w:val="00D03CA7"/>
    <w:rsid w:val="00D06309"/>
    <w:rsid w:val="00D104F1"/>
    <w:rsid w:val="00D11017"/>
    <w:rsid w:val="00D12C0C"/>
    <w:rsid w:val="00D12C44"/>
    <w:rsid w:val="00D14F3D"/>
    <w:rsid w:val="00D16FD8"/>
    <w:rsid w:val="00D207AB"/>
    <w:rsid w:val="00D212E5"/>
    <w:rsid w:val="00D33872"/>
    <w:rsid w:val="00D34845"/>
    <w:rsid w:val="00D351EA"/>
    <w:rsid w:val="00D37F5A"/>
    <w:rsid w:val="00D40288"/>
    <w:rsid w:val="00D40810"/>
    <w:rsid w:val="00D41C0C"/>
    <w:rsid w:val="00D42A70"/>
    <w:rsid w:val="00D43403"/>
    <w:rsid w:val="00D520D9"/>
    <w:rsid w:val="00D5270B"/>
    <w:rsid w:val="00D56608"/>
    <w:rsid w:val="00D60C74"/>
    <w:rsid w:val="00D61B9A"/>
    <w:rsid w:val="00D62E71"/>
    <w:rsid w:val="00D63DED"/>
    <w:rsid w:val="00D6430D"/>
    <w:rsid w:val="00D64996"/>
    <w:rsid w:val="00D64F51"/>
    <w:rsid w:val="00D65C31"/>
    <w:rsid w:val="00D66188"/>
    <w:rsid w:val="00D674B3"/>
    <w:rsid w:val="00D70DE9"/>
    <w:rsid w:val="00D717EE"/>
    <w:rsid w:val="00D731F6"/>
    <w:rsid w:val="00D7339B"/>
    <w:rsid w:val="00D740CA"/>
    <w:rsid w:val="00D74130"/>
    <w:rsid w:val="00D74D23"/>
    <w:rsid w:val="00D74EA1"/>
    <w:rsid w:val="00D7775E"/>
    <w:rsid w:val="00D84791"/>
    <w:rsid w:val="00D85581"/>
    <w:rsid w:val="00D85728"/>
    <w:rsid w:val="00D86D7F"/>
    <w:rsid w:val="00D878FC"/>
    <w:rsid w:val="00D920B0"/>
    <w:rsid w:val="00D94CB8"/>
    <w:rsid w:val="00D95481"/>
    <w:rsid w:val="00D9579A"/>
    <w:rsid w:val="00DA2FA1"/>
    <w:rsid w:val="00DA404F"/>
    <w:rsid w:val="00DA7B18"/>
    <w:rsid w:val="00DB5D36"/>
    <w:rsid w:val="00DB61C8"/>
    <w:rsid w:val="00DB7B84"/>
    <w:rsid w:val="00DC1554"/>
    <w:rsid w:val="00DC45ED"/>
    <w:rsid w:val="00DC5508"/>
    <w:rsid w:val="00DC60E3"/>
    <w:rsid w:val="00DC7A13"/>
    <w:rsid w:val="00DD2E60"/>
    <w:rsid w:val="00DD36F2"/>
    <w:rsid w:val="00DD4455"/>
    <w:rsid w:val="00DD702E"/>
    <w:rsid w:val="00DE394F"/>
    <w:rsid w:val="00DF28E4"/>
    <w:rsid w:val="00DF2997"/>
    <w:rsid w:val="00DF2EF3"/>
    <w:rsid w:val="00DF3328"/>
    <w:rsid w:val="00DF3EEF"/>
    <w:rsid w:val="00DF5F1D"/>
    <w:rsid w:val="00DF6342"/>
    <w:rsid w:val="00DF719F"/>
    <w:rsid w:val="00E01154"/>
    <w:rsid w:val="00E019F0"/>
    <w:rsid w:val="00E041BE"/>
    <w:rsid w:val="00E0422B"/>
    <w:rsid w:val="00E04C9E"/>
    <w:rsid w:val="00E04F15"/>
    <w:rsid w:val="00E066A5"/>
    <w:rsid w:val="00E067CE"/>
    <w:rsid w:val="00E069DA"/>
    <w:rsid w:val="00E06F58"/>
    <w:rsid w:val="00E072B5"/>
    <w:rsid w:val="00E10BC4"/>
    <w:rsid w:val="00E1415D"/>
    <w:rsid w:val="00E23027"/>
    <w:rsid w:val="00E323E9"/>
    <w:rsid w:val="00E33A8C"/>
    <w:rsid w:val="00E34018"/>
    <w:rsid w:val="00E35C20"/>
    <w:rsid w:val="00E37896"/>
    <w:rsid w:val="00E4080C"/>
    <w:rsid w:val="00E41746"/>
    <w:rsid w:val="00E43203"/>
    <w:rsid w:val="00E437D2"/>
    <w:rsid w:val="00E52A13"/>
    <w:rsid w:val="00E55382"/>
    <w:rsid w:val="00E55383"/>
    <w:rsid w:val="00E55751"/>
    <w:rsid w:val="00E57BEB"/>
    <w:rsid w:val="00E646E4"/>
    <w:rsid w:val="00E64B38"/>
    <w:rsid w:val="00E66C2A"/>
    <w:rsid w:val="00E701BC"/>
    <w:rsid w:val="00E70FD6"/>
    <w:rsid w:val="00E74E31"/>
    <w:rsid w:val="00E75681"/>
    <w:rsid w:val="00E76813"/>
    <w:rsid w:val="00E83963"/>
    <w:rsid w:val="00E8678D"/>
    <w:rsid w:val="00E95AFE"/>
    <w:rsid w:val="00EA2311"/>
    <w:rsid w:val="00EA7D41"/>
    <w:rsid w:val="00EB1AEC"/>
    <w:rsid w:val="00EB73F7"/>
    <w:rsid w:val="00EC125A"/>
    <w:rsid w:val="00EC4844"/>
    <w:rsid w:val="00EC5482"/>
    <w:rsid w:val="00EC5A59"/>
    <w:rsid w:val="00EC5AA6"/>
    <w:rsid w:val="00EC7BC3"/>
    <w:rsid w:val="00ED1669"/>
    <w:rsid w:val="00ED4386"/>
    <w:rsid w:val="00ED49EA"/>
    <w:rsid w:val="00ED7600"/>
    <w:rsid w:val="00EE1F6C"/>
    <w:rsid w:val="00EE7253"/>
    <w:rsid w:val="00EF3991"/>
    <w:rsid w:val="00EF3C7D"/>
    <w:rsid w:val="00EF5C5F"/>
    <w:rsid w:val="00EF5E67"/>
    <w:rsid w:val="00EF6073"/>
    <w:rsid w:val="00EF64B1"/>
    <w:rsid w:val="00EF659A"/>
    <w:rsid w:val="00EF698B"/>
    <w:rsid w:val="00F024FB"/>
    <w:rsid w:val="00F03CE6"/>
    <w:rsid w:val="00F12598"/>
    <w:rsid w:val="00F1362C"/>
    <w:rsid w:val="00F25025"/>
    <w:rsid w:val="00F253AC"/>
    <w:rsid w:val="00F26496"/>
    <w:rsid w:val="00F31715"/>
    <w:rsid w:val="00F34EDF"/>
    <w:rsid w:val="00F35767"/>
    <w:rsid w:val="00F35EAD"/>
    <w:rsid w:val="00F40637"/>
    <w:rsid w:val="00F40C5D"/>
    <w:rsid w:val="00F414F1"/>
    <w:rsid w:val="00F4799E"/>
    <w:rsid w:val="00F508B8"/>
    <w:rsid w:val="00F50E8C"/>
    <w:rsid w:val="00F52161"/>
    <w:rsid w:val="00F5590A"/>
    <w:rsid w:val="00F72CB1"/>
    <w:rsid w:val="00F749E0"/>
    <w:rsid w:val="00F75627"/>
    <w:rsid w:val="00F75FE7"/>
    <w:rsid w:val="00F76675"/>
    <w:rsid w:val="00F77038"/>
    <w:rsid w:val="00F8215E"/>
    <w:rsid w:val="00F82247"/>
    <w:rsid w:val="00F824F5"/>
    <w:rsid w:val="00F90500"/>
    <w:rsid w:val="00F90FAB"/>
    <w:rsid w:val="00F9374D"/>
    <w:rsid w:val="00F948AB"/>
    <w:rsid w:val="00F9499F"/>
    <w:rsid w:val="00F96D21"/>
    <w:rsid w:val="00FA31D5"/>
    <w:rsid w:val="00FA6509"/>
    <w:rsid w:val="00FB0124"/>
    <w:rsid w:val="00FB0CD6"/>
    <w:rsid w:val="00FB196E"/>
    <w:rsid w:val="00FC0C36"/>
    <w:rsid w:val="00FC29A0"/>
    <w:rsid w:val="00FC29B9"/>
    <w:rsid w:val="00FC2A79"/>
    <w:rsid w:val="00FC6FD3"/>
    <w:rsid w:val="00FD157F"/>
    <w:rsid w:val="00FD1804"/>
    <w:rsid w:val="00FD6506"/>
    <w:rsid w:val="00FD6CB9"/>
    <w:rsid w:val="00FE2AA5"/>
    <w:rsid w:val="00FE305C"/>
    <w:rsid w:val="00FF0301"/>
    <w:rsid w:val="00FF087A"/>
    <w:rsid w:val="00FF18E4"/>
    <w:rsid w:val="00FF2715"/>
    <w:rsid w:val="00FF5406"/>
    <w:rsid w:val="07CB3E90"/>
    <w:rsid w:val="0B4C8377"/>
    <w:rsid w:val="0C5E0500"/>
    <w:rsid w:val="0C63D59D"/>
    <w:rsid w:val="0E73F02C"/>
    <w:rsid w:val="0F9BCD63"/>
    <w:rsid w:val="10456A38"/>
    <w:rsid w:val="12391D65"/>
    <w:rsid w:val="127E9D25"/>
    <w:rsid w:val="16B37CCC"/>
    <w:rsid w:val="17551478"/>
    <w:rsid w:val="188C131B"/>
    <w:rsid w:val="1EA5FDCC"/>
    <w:rsid w:val="2027DBF5"/>
    <w:rsid w:val="202A3E92"/>
    <w:rsid w:val="21CC67E7"/>
    <w:rsid w:val="24CE5453"/>
    <w:rsid w:val="24FFFB2B"/>
    <w:rsid w:val="25E88903"/>
    <w:rsid w:val="273909F2"/>
    <w:rsid w:val="27BAD803"/>
    <w:rsid w:val="2831CD08"/>
    <w:rsid w:val="2B568733"/>
    <w:rsid w:val="2D54444E"/>
    <w:rsid w:val="2F47FE3C"/>
    <w:rsid w:val="3021AB54"/>
    <w:rsid w:val="3529CF83"/>
    <w:rsid w:val="377F76D7"/>
    <w:rsid w:val="381664CD"/>
    <w:rsid w:val="383A396A"/>
    <w:rsid w:val="3E823EE8"/>
    <w:rsid w:val="3F817D41"/>
    <w:rsid w:val="405458AD"/>
    <w:rsid w:val="41B827E9"/>
    <w:rsid w:val="4266DDFC"/>
    <w:rsid w:val="45C4ACB0"/>
    <w:rsid w:val="47082EE3"/>
    <w:rsid w:val="48C28FAF"/>
    <w:rsid w:val="4B357E35"/>
    <w:rsid w:val="4EE2B676"/>
    <w:rsid w:val="4F43E35E"/>
    <w:rsid w:val="522B6039"/>
    <w:rsid w:val="534A68ED"/>
    <w:rsid w:val="5510C95F"/>
    <w:rsid w:val="5573462E"/>
    <w:rsid w:val="559CB2DA"/>
    <w:rsid w:val="5701F25B"/>
    <w:rsid w:val="575834E8"/>
    <w:rsid w:val="57C8D63F"/>
    <w:rsid w:val="59030F1D"/>
    <w:rsid w:val="5B8C4F71"/>
    <w:rsid w:val="5F242001"/>
    <w:rsid w:val="5FE6443F"/>
    <w:rsid w:val="627A1EFE"/>
    <w:rsid w:val="6430CA1E"/>
    <w:rsid w:val="64A77D71"/>
    <w:rsid w:val="67CDBF32"/>
    <w:rsid w:val="69BF5CB2"/>
    <w:rsid w:val="6A5A44EA"/>
    <w:rsid w:val="6FB1C296"/>
    <w:rsid w:val="71196829"/>
    <w:rsid w:val="7234CC7D"/>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4A36CC"/>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radley Hand ITC" w:hAnsi="Bradley Hand ITC"/>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285"/>
    <w:pPr>
      <w:tabs>
        <w:tab w:val="right" w:leader="dot" w:pos="9617"/>
      </w:tabs>
      <w:spacing w:after="100"/>
    </w:pPr>
  </w:style>
  <w:style w:type="paragraph" w:styleId="TOC5">
    <w:name w:val="toc 5"/>
    <w:aliases w:val="Proposal"/>
    <w:basedOn w:val="Normal"/>
    <w:next w:val="Normal"/>
    <w:autoRedefine/>
    <w:uiPriority w:val="39"/>
    <w:unhideWhenUsed/>
    <w:rsid w:val="00E83963"/>
    <w:pPr>
      <w:tabs>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327097595">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68849024">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03923330">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5AIRPNAIUNRU-1328258698-26765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https://nokia.sharepoint.com/sites/c5g/5gradio/_layouts/15/DocIdRedir.aspx?ID=5AIRPNAIUNRU-1328258698-26765</Url>
      <Description>5AIRPNAIUNRU-1328258698-26765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customXml/itemProps2.xml><?xml version="1.0" encoding="utf-8"?>
<ds:datastoreItem xmlns:ds="http://schemas.openxmlformats.org/officeDocument/2006/customXml" ds:itemID="{3A12726A-C811-4442-B911-36F1C0A4E22C}">
  <ds:schemaRefs>
    <ds:schemaRef ds:uri="Microsoft.SharePoint.Taxonomy.ContentTypeSync"/>
  </ds:schemaRefs>
</ds:datastoreItem>
</file>

<file path=customXml/itemProps3.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4.xml><?xml version="1.0" encoding="utf-8"?>
<ds:datastoreItem xmlns:ds="http://schemas.openxmlformats.org/officeDocument/2006/customXml" ds:itemID="{D07CFA8C-A478-46BB-B1A7-87AF44D7DD0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CD40CF8F-1D1C-498F-B3A8-DBF6C590C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908AA7-3FBA-4240-A8F6-5AEA35168671}">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1697</Words>
  <Characters>9675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11350</CharactersWithSpaces>
  <SharedDoc>false</SharedDoc>
  <HLinks>
    <vt:vector size="60" baseType="variant">
      <vt:variant>
        <vt:i4>1310772</vt:i4>
      </vt:variant>
      <vt:variant>
        <vt:i4>29</vt:i4>
      </vt:variant>
      <vt:variant>
        <vt:i4>0</vt:i4>
      </vt:variant>
      <vt:variant>
        <vt:i4>5</vt:i4>
      </vt:variant>
      <vt:variant>
        <vt:lpwstr/>
      </vt:variant>
      <vt:variant>
        <vt:lpwstr>_Toc146729194</vt:lpwstr>
      </vt:variant>
      <vt:variant>
        <vt:i4>1310772</vt:i4>
      </vt:variant>
      <vt:variant>
        <vt:i4>26</vt:i4>
      </vt:variant>
      <vt:variant>
        <vt:i4>0</vt:i4>
      </vt:variant>
      <vt:variant>
        <vt:i4>5</vt:i4>
      </vt:variant>
      <vt:variant>
        <vt:lpwstr/>
      </vt:variant>
      <vt:variant>
        <vt:lpwstr>_Toc146729193</vt:lpwstr>
      </vt:variant>
      <vt:variant>
        <vt:i4>1310772</vt:i4>
      </vt:variant>
      <vt:variant>
        <vt:i4>23</vt:i4>
      </vt:variant>
      <vt:variant>
        <vt:i4>0</vt:i4>
      </vt:variant>
      <vt:variant>
        <vt:i4>5</vt:i4>
      </vt:variant>
      <vt:variant>
        <vt:lpwstr/>
      </vt:variant>
      <vt:variant>
        <vt:lpwstr>_Toc146729192</vt:lpwstr>
      </vt:variant>
      <vt:variant>
        <vt:i4>1310772</vt:i4>
      </vt:variant>
      <vt:variant>
        <vt:i4>20</vt:i4>
      </vt:variant>
      <vt:variant>
        <vt:i4>0</vt:i4>
      </vt:variant>
      <vt:variant>
        <vt:i4>5</vt:i4>
      </vt:variant>
      <vt:variant>
        <vt:lpwstr/>
      </vt:variant>
      <vt:variant>
        <vt:lpwstr>_Toc146729191</vt:lpwstr>
      </vt:variant>
      <vt:variant>
        <vt:i4>1310772</vt:i4>
      </vt:variant>
      <vt:variant>
        <vt:i4>17</vt:i4>
      </vt:variant>
      <vt:variant>
        <vt:i4>0</vt:i4>
      </vt:variant>
      <vt:variant>
        <vt:i4>5</vt:i4>
      </vt:variant>
      <vt:variant>
        <vt:lpwstr/>
      </vt:variant>
      <vt:variant>
        <vt:lpwstr>_Toc146729190</vt:lpwstr>
      </vt:variant>
      <vt:variant>
        <vt:i4>1376308</vt:i4>
      </vt:variant>
      <vt:variant>
        <vt:i4>14</vt:i4>
      </vt:variant>
      <vt:variant>
        <vt:i4>0</vt:i4>
      </vt:variant>
      <vt:variant>
        <vt:i4>5</vt:i4>
      </vt:variant>
      <vt:variant>
        <vt:lpwstr/>
      </vt:variant>
      <vt:variant>
        <vt:lpwstr>_Toc146729189</vt:lpwstr>
      </vt:variant>
      <vt:variant>
        <vt:i4>1376308</vt:i4>
      </vt:variant>
      <vt:variant>
        <vt:i4>11</vt:i4>
      </vt:variant>
      <vt:variant>
        <vt:i4>0</vt:i4>
      </vt:variant>
      <vt:variant>
        <vt:i4>5</vt:i4>
      </vt:variant>
      <vt:variant>
        <vt:lpwstr/>
      </vt:variant>
      <vt:variant>
        <vt:lpwstr>_Toc146729188</vt:lpwstr>
      </vt:variant>
      <vt:variant>
        <vt:i4>1376308</vt:i4>
      </vt:variant>
      <vt:variant>
        <vt:i4>8</vt:i4>
      </vt:variant>
      <vt:variant>
        <vt:i4>0</vt:i4>
      </vt:variant>
      <vt:variant>
        <vt:i4>5</vt:i4>
      </vt:variant>
      <vt:variant>
        <vt:lpwstr/>
      </vt:variant>
      <vt:variant>
        <vt:lpwstr>_Toc146729187</vt:lpwstr>
      </vt:variant>
      <vt:variant>
        <vt:i4>1376308</vt:i4>
      </vt:variant>
      <vt:variant>
        <vt:i4>5</vt:i4>
      </vt:variant>
      <vt:variant>
        <vt:i4>0</vt:i4>
      </vt:variant>
      <vt:variant>
        <vt:i4>5</vt:i4>
      </vt:variant>
      <vt:variant>
        <vt:lpwstr/>
      </vt:variant>
      <vt:variant>
        <vt:lpwstr>_Toc146729186</vt:lpwstr>
      </vt:variant>
      <vt:variant>
        <vt:i4>1376308</vt:i4>
      </vt:variant>
      <vt:variant>
        <vt:i4>2</vt:i4>
      </vt:variant>
      <vt:variant>
        <vt:i4>0</vt:i4>
      </vt:variant>
      <vt:variant>
        <vt:i4>5</vt:i4>
      </vt:variant>
      <vt:variant>
        <vt:lpwstr/>
      </vt:variant>
      <vt:variant>
        <vt:lpwstr>_Toc146729185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2023-09-27T14:53:00Z</dcterms:created>
  <dcterms:modified xsi:type="dcterms:W3CDTF">2023-09-27T18:19:00Z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0x01010000E5007003D3004E92B8EDD86D20E8CD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b35bab60-e29f-4fc5-a9ff-3e550e6097c9</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